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6AEA6">
      <w:pPr>
        <w:spacing w:line="360" w:lineRule="auto"/>
        <w:jc w:val="center"/>
        <w:rPr>
          <w:rFonts w:ascii="仿宋" w:hAnsi="仿宋" w:eastAsia="仿宋" w:cs="仿宋"/>
          <w:b/>
          <w:sz w:val="28"/>
          <w:szCs w:val="28"/>
        </w:rPr>
      </w:pPr>
    </w:p>
    <w:p w14:paraId="5A7E8708">
      <w:pPr>
        <w:spacing w:line="360" w:lineRule="auto"/>
        <w:jc w:val="center"/>
        <w:rPr>
          <w:rFonts w:hint="eastAsia" w:ascii="Times New Roman" w:hAnsi="Times New Roman" w:eastAsia="黑体" w:cs="Times New Roman"/>
          <w:color w:val="000000"/>
          <w:w w:val="90"/>
          <w:kern w:val="0"/>
          <w:sz w:val="44"/>
          <w:szCs w:val="44"/>
          <w:lang w:val="en-US" w:eastAsia="zh-CN"/>
        </w:rPr>
      </w:pPr>
      <w:r>
        <w:rPr>
          <w:rFonts w:hint="eastAsia" w:ascii="Times New Roman" w:hAnsi="Times New Roman" w:eastAsia="黑体" w:cs="Times New Roman"/>
          <w:color w:val="000000"/>
          <w:w w:val="90"/>
          <w:kern w:val="0"/>
          <w:sz w:val="44"/>
          <w:szCs w:val="44"/>
          <w:lang w:val="en-US" w:eastAsia="zh-CN"/>
        </w:rPr>
        <w:t>2025年</w:t>
      </w:r>
      <w:r>
        <w:rPr>
          <w:rFonts w:hint="eastAsia" w:ascii="Times New Roman" w:hAnsi="Times New Roman" w:eastAsia="黑体" w:cs="Times New Roman"/>
          <w:color w:val="000000"/>
          <w:w w:val="90"/>
          <w:kern w:val="0"/>
          <w:sz w:val="44"/>
          <w:szCs w:val="44"/>
          <w:lang w:eastAsia="zh-CN"/>
        </w:rPr>
        <w:t>南通市农产品质量检验测试中心</w:t>
      </w:r>
    </w:p>
    <w:p w14:paraId="7B581192">
      <w:pPr>
        <w:spacing w:line="360" w:lineRule="auto"/>
        <w:jc w:val="center"/>
        <w:rPr>
          <w:rFonts w:hint="eastAsia" w:ascii="华文中宋" w:hAnsi="华文中宋" w:eastAsia="华文中宋" w:cs="Times New Roman"/>
          <w:b/>
          <w:sz w:val="56"/>
          <w:szCs w:val="56"/>
          <w:lang w:eastAsia="zh-CN"/>
        </w:rPr>
      </w:pPr>
      <w:r>
        <w:rPr>
          <w:rFonts w:hint="eastAsia" w:ascii="Times New Roman" w:hAnsi="Times New Roman" w:eastAsia="黑体" w:cs="Times New Roman"/>
          <w:color w:val="000000"/>
          <w:w w:val="90"/>
          <w:kern w:val="0"/>
          <w:sz w:val="44"/>
          <w:szCs w:val="44"/>
          <w:lang w:val="en-US" w:eastAsia="zh-CN"/>
        </w:rPr>
        <w:t>标准物质</w:t>
      </w:r>
      <w:r>
        <w:rPr>
          <w:rFonts w:hint="eastAsia" w:ascii="Times New Roman" w:hAnsi="Times New Roman" w:eastAsia="黑体" w:cs="Times New Roman"/>
          <w:color w:val="000000"/>
          <w:w w:val="90"/>
          <w:kern w:val="0"/>
          <w:sz w:val="44"/>
          <w:szCs w:val="44"/>
          <w:lang w:eastAsia="zh-CN"/>
        </w:rPr>
        <w:t>采购项目</w:t>
      </w:r>
    </w:p>
    <w:p w14:paraId="759CA96F">
      <w:pPr>
        <w:spacing w:line="360" w:lineRule="auto"/>
        <w:jc w:val="center"/>
        <w:rPr>
          <w:rFonts w:hint="eastAsia" w:ascii="仿宋" w:hAnsi="仿宋" w:eastAsia="仿宋" w:cs="仿宋"/>
          <w:b/>
          <w:sz w:val="28"/>
          <w:szCs w:val="28"/>
        </w:rPr>
      </w:pPr>
    </w:p>
    <w:p w14:paraId="14328F10">
      <w:pPr>
        <w:spacing w:line="360" w:lineRule="auto"/>
        <w:jc w:val="center"/>
        <w:rPr>
          <w:rFonts w:ascii="仿宋" w:hAnsi="仿宋" w:eastAsia="仿宋" w:cs="仿宋"/>
          <w:b/>
          <w:sz w:val="28"/>
          <w:szCs w:val="28"/>
        </w:rPr>
      </w:pPr>
    </w:p>
    <w:p w14:paraId="1BDA8E69">
      <w:pPr>
        <w:autoSpaceDE w:val="0"/>
        <w:autoSpaceDN w:val="0"/>
        <w:adjustRightInd w:val="0"/>
        <w:jc w:val="center"/>
        <w:rPr>
          <w:rFonts w:ascii="华文中宋" w:hAnsi="华文中宋" w:eastAsia="华文中宋" w:cs="仿宋"/>
          <w:b/>
          <w:bCs/>
          <w:sz w:val="56"/>
          <w:szCs w:val="72"/>
        </w:rPr>
      </w:pPr>
      <w:r>
        <w:rPr>
          <w:rFonts w:hint="eastAsia" w:ascii="Times New Roman" w:hAnsi="Times New Roman" w:eastAsia="黑体" w:cs="Times New Roman"/>
          <w:color w:val="000000"/>
          <w:w w:val="90"/>
          <w:kern w:val="0"/>
          <w:sz w:val="44"/>
          <w:szCs w:val="44"/>
          <w:lang w:val="zh-CN" w:eastAsia="zh-CN"/>
        </w:rPr>
        <w:t>招标文件</w:t>
      </w:r>
    </w:p>
    <w:p w14:paraId="3D06AF50">
      <w:pPr>
        <w:spacing w:line="360" w:lineRule="auto"/>
        <w:jc w:val="center"/>
        <w:rPr>
          <w:rFonts w:ascii="仿宋" w:hAnsi="仿宋" w:eastAsia="仿宋" w:cs="仿宋"/>
          <w:b/>
          <w:sz w:val="28"/>
          <w:szCs w:val="28"/>
        </w:rPr>
      </w:pPr>
    </w:p>
    <w:p w14:paraId="3E47E878">
      <w:pPr>
        <w:spacing w:line="360" w:lineRule="auto"/>
        <w:jc w:val="center"/>
        <w:rPr>
          <w:rFonts w:ascii="仿宋" w:hAnsi="仿宋" w:eastAsia="仿宋" w:cs="仿宋"/>
          <w:b/>
          <w:sz w:val="28"/>
          <w:szCs w:val="28"/>
        </w:rPr>
      </w:pPr>
    </w:p>
    <w:p w14:paraId="496A7822">
      <w:pPr>
        <w:spacing w:line="360" w:lineRule="auto"/>
        <w:jc w:val="center"/>
        <w:rPr>
          <w:rFonts w:ascii="仿宋" w:hAnsi="仿宋" w:eastAsia="仿宋" w:cs="仿宋"/>
          <w:b/>
          <w:sz w:val="28"/>
          <w:szCs w:val="28"/>
        </w:rPr>
      </w:pPr>
    </w:p>
    <w:p w14:paraId="7B5973BA">
      <w:pPr>
        <w:spacing w:line="360" w:lineRule="auto"/>
        <w:rPr>
          <w:rFonts w:ascii="仿宋" w:hAnsi="仿宋" w:eastAsia="仿宋" w:cs="仿宋"/>
          <w:b/>
          <w:sz w:val="28"/>
          <w:szCs w:val="28"/>
        </w:rPr>
      </w:pPr>
    </w:p>
    <w:p w14:paraId="090A562A">
      <w:pPr>
        <w:spacing w:line="360" w:lineRule="auto"/>
        <w:rPr>
          <w:rFonts w:ascii="仿宋" w:hAnsi="仿宋" w:eastAsia="仿宋" w:cs="仿宋"/>
          <w:b/>
          <w:sz w:val="28"/>
          <w:szCs w:val="28"/>
        </w:rPr>
      </w:pPr>
    </w:p>
    <w:p w14:paraId="3E7E8819">
      <w:pPr>
        <w:spacing w:line="360" w:lineRule="auto"/>
        <w:rPr>
          <w:rFonts w:ascii="仿宋" w:hAnsi="仿宋" w:eastAsia="仿宋" w:cs="仿宋"/>
          <w:b/>
          <w:sz w:val="28"/>
          <w:szCs w:val="28"/>
        </w:rPr>
      </w:pPr>
    </w:p>
    <w:p w14:paraId="63D57CAF">
      <w:pPr>
        <w:spacing w:line="360" w:lineRule="auto"/>
        <w:rPr>
          <w:rFonts w:ascii="仿宋" w:hAnsi="仿宋" w:eastAsia="仿宋" w:cs="仿宋"/>
          <w:b/>
          <w:sz w:val="28"/>
          <w:szCs w:val="28"/>
        </w:rPr>
      </w:pPr>
    </w:p>
    <w:p w14:paraId="36825579">
      <w:pPr>
        <w:spacing w:line="360" w:lineRule="auto"/>
        <w:rPr>
          <w:rFonts w:ascii="仿宋" w:hAnsi="仿宋" w:eastAsia="仿宋" w:cs="仿宋"/>
          <w:b/>
          <w:sz w:val="28"/>
          <w:szCs w:val="28"/>
        </w:rPr>
      </w:pPr>
    </w:p>
    <w:p w14:paraId="7687715A">
      <w:pPr>
        <w:spacing w:line="360" w:lineRule="auto"/>
        <w:rPr>
          <w:rFonts w:ascii="仿宋" w:hAnsi="仿宋" w:eastAsia="仿宋" w:cs="仿宋"/>
          <w:b/>
          <w:sz w:val="28"/>
          <w:szCs w:val="28"/>
        </w:rPr>
      </w:pPr>
    </w:p>
    <w:p w14:paraId="3A684B82">
      <w:pPr>
        <w:spacing w:line="560" w:lineRule="exact"/>
        <w:jc w:val="center"/>
        <w:rPr>
          <w:rFonts w:hint="eastAsia" w:ascii="华文中宋" w:hAnsi="华文中宋" w:eastAsia="华文中宋" w:cs="仿宋"/>
          <w:b/>
          <w:sz w:val="28"/>
          <w:szCs w:val="28"/>
        </w:rPr>
      </w:pPr>
    </w:p>
    <w:p w14:paraId="65AD43BC">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w:t>
      </w:r>
      <w:r>
        <w:rPr>
          <w:rFonts w:hint="eastAsia" w:ascii="华文中宋" w:hAnsi="华文中宋" w:eastAsia="华文中宋" w:cs="仿宋"/>
          <w:b/>
          <w:sz w:val="28"/>
          <w:szCs w:val="28"/>
          <w:lang w:val="en-US" w:eastAsia="zh-CN"/>
        </w:rPr>
        <w:t>五</w:t>
      </w:r>
      <w:r>
        <w:rPr>
          <w:rFonts w:hint="eastAsia" w:ascii="华文中宋" w:hAnsi="华文中宋" w:eastAsia="华文中宋" w:cs="仿宋"/>
          <w:b/>
          <w:sz w:val="28"/>
          <w:szCs w:val="28"/>
        </w:rPr>
        <w:t>年</w:t>
      </w:r>
      <w:r>
        <w:rPr>
          <w:rFonts w:hint="eastAsia" w:ascii="华文中宋" w:hAnsi="华文中宋" w:eastAsia="华文中宋" w:cs="仿宋"/>
          <w:b/>
          <w:sz w:val="28"/>
          <w:szCs w:val="28"/>
          <w:lang w:val="en-US" w:eastAsia="zh-CN"/>
        </w:rPr>
        <w:t>十一月二十一日</w:t>
      </w:r>
    </w:p>
    <w:p w14:paraId="770C7304">
      <w:pPr>
        <w:pBdr>
          <w:bottom w:val="single" w:color="auto" w:sz="4" w:space="1"/>
        </w:pBd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r>
        <w:rPr>
          <w:rFonts w:ascii="华文中宋" w:hAnsi="华文中宋" w:eastAsia="华文中宋" w:cs="仿宋"/>
          <w:b/>
          <w:snapToGrid w:val="0"/>
          <w:sz w:val="28"/>
          <w:szCs w:val="28"/>
          <w:u w:val="single"/>
        </w:rPr>
        <w:t xml:space="preserve">                                    </w:t>
      </w:r>
      <w:r>
        <w:rPr>
          <w:rFonts w:hint="eastAsia" w:ascii="华文中宋" w:hAnsi="华文中宋" w:eastAsia="华文中宋" w:cs="仿宋"/>
          <w:b/>
          <w:snapToGrid w:val="0"/>
          <w:sz w:val="28"/>
          <w:szCs w:val="28"/>
          <w:u w:val="single"/>
        </w:rPr>
        <w:t xml:space="preserve">  </w:t>
      </w:r>
    </w:p>
    <w:p w14:paraId="79F6EF15">
      <w:pPr>
        <w:adjustRightInd w:val="0"/>
        <w:snapToGrid w:val="0"/>
        <w:spacing w:line="520" w:lineRule="exact"/>
        <w:ind w:left="-158" w:leftChars="-75"/>
        <w:rPr>
          <w:rFonts w:ascii="仿宋" w:hAnsi="仿宋" w:eastAsia="仿宋" w:cs="仿宋"/>
          <w:b/>
          <w:snapToGrid w:val="0"/>
          <w:sz w:val="24"/>
          <w:szCs w:val="24"/>
          <w:u w:val="single"/>
        </w:rPr>
      </w:pPr>
      <w:r>
        <w:rPr>
          <w:rFonts w:hint="eastAsia" w:ascii="华文中宋" w:hAnsi="华文中宋" w:eastAsia="华文中宋" w:cs="仿宋"/>
          <w:b/>
          <w:spacing w:val="20"/>
          <w:sz w:val="24"/>
          <w:szCs w:val="24"/>
        </w:rPr>
        <w:t>地址：江苏省南通市崇川区江海大道989号</w:t>
      </w:r>
      <w:r>
        <w:rPr>
          <w:rFonts w:ascii="华文中宋" w:hAnsi="华文中宋" w:eastAsia="华文中宋" w:cs="仿宋"/>
          <w:b/>
          <w:spacing w:val="20"/>
          <w:sz w:val="24"/>
          <w:szCs w:val="24"/>
        </w:rPr>
        <w:t xml:space="preserve">                   </w:t>
      </w:r>
      <w:r>
        <w:rPr>
          <w:rFonts w:hint="eastAsia" w:ascii="华文中宋" w:hAnsi="华文中宋" w:eastAsia="华文中宋" w:cs="仿宋"/>
          <w:b/>
          <w:spacing w:val="20"/>
          <w:sz w:val="24"/>
          <w:szCs w:val="24"/>
        </w:rPr>
        <w:t xml:space="preserve"> 邮编：</w:t>
      </w:r>
      <w:r>
        <w:rPr>
          <w:rFonts w:ascii="华文中宋" w:hAnsi="华文中宋" w:eastAsia="华文中宋" w:cs="仿宋"/>
          <w:b/>
          <w:spacing w:val="20"/>
          <w:sz w:val="24"/>
          <w:szCs w:val="24"/>
        </w:rPr>
        <w:t>226001</w:t>
      </w:r>
    </w:p>
    <w:p w14:paraId="3FF3D18B">
      <w:pPr>
        <w:autoSpaceDE w:val="0"/>
        <w:autoSpaceDN w:val="0"/>
        <w:adjustRightInd w:val="0"/>
        <w:spacing w:before="319" w:beforeLines="100" w:after="319" w:afterLines="100" w:line="360" w:lineRule="auto"/>
        <w:jc w:val="center"/>
        <w:outlineLvl w:val="0"/>
        <w:rPr>
          <w:rFonts w:hint="eastAsia" w:ascii="仿宋" w:hAnsi="仿宋" w:eastAsia="仿宋" w:cs="仿宋"/>
          <w:b/>
          <w:bCs/>
          <w:sz w:val="52"/>
          <w:szCs w:val="32"/>
          <w:lang w:val="zh-CN"/>
        </w:rPr>
      </w:pPr>
    </w:p>
    <w:p w14:paraId="659E2898">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5D990838">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 xml:space="preserve">第一部分  </w:t>
      </w:r>
      <w:r>
        <w:rPr>
          <w:rFonts w:hint="eastAsia" w:ascii="仿宋" w:hAnsi="仿宋" w:eastAsia="仿宋" w:cs="仿宋"/>
          <w:b/>
          <w:sz w:val="28"/>
          <w:szCs w:val="24"/>
          <w:lang w:eastAsia="zh-CN"/>
        </w:rPr>
        <w:t>招标</w:t>
      </w:r>
      <w:r>
        <w:rPr>
          <w:rFonts w:hint="eastAsia" w:ascii="仿宋" w:hAnsi="仿宋" w:eastAsia="仿宋" w:cs="仿宋"/>
          <w:b/>
          <w:sz w:val="28"/>
          <w:szCs w:val="24"/>
        </w:rPr>
        <w:t>公告</w:t>
      </w:r>
    </w:p>
    <w:p w14:paraId="6644FBD7">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 xml:space="preserve">第二部分  </w:t>
      </w:r>
      <w:r>
        <w:rPr>
          <w:rFonts w:hint="eastAsia" w:ascii="仿宋" w:hAnsi="仿宋" w:eastAsia="仿宋" w:cs="仿宋"/>
          <w:b/>
          <w:sz w:val="28"/>
          <w:szCs w:val="24"/>
          <w:lang w:eastAsia="zh-CN"/>
        </w:rPr>
        <w:t>招标</w:t>
      </w:r>
      <w:r>
        <w:rPr>
          <w:rFonts w:hint="eastAsia" w:ascii="仿宋" w:hAnsi="仿宋" w:eastAsia="仿宋" w:cs="仿宋"/>
          <w:b/>
          <w:sz w:val="28"/>
          <w:szCs w:val="24"/>
        </w:rPr>
        <w:t>须知</w:t>
      </w:r>
    </w:p>
    <w:p w14:paraId="58091ABC">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5CD1D0E5">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评审方法和评审标准</w:t>
      </w:r>
    </w:p>
    <w:p w14:paraId="25DD99AA">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第五部分  合同条款及格式</w:t>
      </w:r>
    </w:p>
    <w:p w14:paraId="1A3352CE">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40C29B40">
      <w:pPr>
        <w:widowControl/>
        <w:jc w:val="left"/>
        <w:rPr>
          <w:rFonts w:ascii="仿宋" w:hAnsi="仿宋" w:eastAsia="仿宋"/>
          <w:sz w:val="28"/>
          <w:szCs w:val="28"/>
        </w:rPr>
      </w:pPr>
      <w:r>
        <w:rPr>
          <w:rFonts w:ascii="仿宋" w:hAnsi="仿宋" w:eastAsia="仿宋"/>
          <w:sz w:val="28"/>
          <w:szCs w:val="28"/>
        </w:rPr>
        <w:br w:type="page"/>
      </w:r>
    </w:p>
    <w:p w14:paraId="54634385">
      <w:pPr>
        <w:pStyle w:val="2"/>
        <w:spacing w:before="159" w:beforeLines="50" w:after="159" w:afterLines="50" w:line="360" w:lineRule="auto"/>
        <w:jc w:val="center"/>
        <w:rPr>
          <w:rFonts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81297243"/>
      <w:bookmarkStart w:id="2" w:name="_Hlk103330607"/>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公告</w:t>
      </w:r>
    </w:p>
    <w:bookmarkEnd w:id="1"/>
    <w:p w14:paraId="5988CA8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bookmarkStart w:id="3" w:name="OLE_LINK2"/>
      <w:bookmarkStart w:id="4" w:name="OLE_LINK3"/>
      <w:bookmarkStart w:id="5" w:name="_Hlk117005804"/>
      <w:r>
        <w:rPr>
          <w:rFonts w:hint="eastAsia" w:ascii="仿宋" w:hAnsi="仿宋" w:eastAsia="仿宋" w:cs="仿宋"/>
          <w:b w:val="0"/>
          <w:bCs/>
          <w:color w:val="auto"/>
          <w:sz w:val="24"/>
          <w:szCs w:val="24"/>
          <w:highlight w:val="none"/>
          <w:lang w:eastAsia="zh-CN"/>
        </w:rPr>
        <w:t>2025年南通市农产品质量检验测试中心标准物质采购项目进行招标采购，欢迎符合条件的供应商参加。</w:t>
      </w:r>
    </w:p>
    <w:p w14:paraId="256189D4">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一、项目基本情况</w:t>
      </w:r>
    </w:p>
    <w:p w14:paraId="5508B8C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项目名称：2025年南通市农产品质量检验测试中心标准物质采购项目</w:t>
      </w:r>
    </w:p>
    <w:p w14:paraId="6B2DCB31">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采购方式：招标</w:t>
      </w:r>
    </w:p>
    <w:p w14:paraId="02264A9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项目类型：货物</w:t>
      </w:r>
    </w:p>
    <w:p w14:paraId="5807966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所属行业：工业</w:t>
      </w:r>
    </w:p>
    <w:p w14:paraId="2D645F2A">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采购金额：</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万元。超过限价的为无效响应文件。</w:t>
      </w:r>
    </w:p>
    <w:p w14:paraId="0AC586A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采购需求和合同履行期限：详见第三部分项目需求。</w:t>
      </w:r>
    </w:p>
    <w:p w14:paraId="1D0A1F7D">
      <w:pPr>
        <w:widowControl/>
        <w:shd w:val="clear" w:color="auto" w:fill="FFFFFF"/>
        <w:spacing w:line="360" w:lineRule="auto"/>
        <w:ind w:firstLine="480" w:firstLineChars="200"/>
        <w:jc w:val="left"/>
        <w:rPr>
          <w:rFonts w:hint="eastAsia" w:ascii="仿宋" w:hAnsi="仿宋" w:eastAsia="宋体"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注：项目需求中的建议品牌，只是建议所采购产品的档次。供应商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如未提供则视其为重大漏项，作无效投标文件处理；同时经三分之二评委认定，所选品牌型号档次等于或优于建议品牌型号档次的，可视作完全响应建议品牌型号产品，否则将作无效投标处理。</w:t>
      </w:r>
      <w:r>
        <w:rPr>
          <w:rFonts w:hint="eastAsia" w:ascii="仿宋" w:hAnsi="仿宋" w:eastAsia="仿宋" w:cs="仿宋"/>
          <w:b w:val="0"/>
          <w:bCs/>
          <w:color w:val="auto"/>
          <w:sz w:val="24"/>
          <w:szCs w:val="24"/>
          <w:highlight w:val="none"/>
          <w:lang w:val="en-US" w:eastAsia="zh-CN"/>
        </w:rPr>
        <w:t>标准物质生产厂家需写全称，不得简写。</w:t>
      </w:r>
    </w:p>
    <w:p w14:paraId="234BF49C">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二、供应商的资格要求：</w:t>
      </w:r>
    </w:p>
    <w:p w14:paraId="57903681">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1.满足《中华人民共和国政府采购法》第二十二条规定。</w:t>
      </w:r>
    </w:p>
    <w:p w14:paraId="23165431">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2.落实政府采购政策需满足的资格要求：无。</w:t>
      </w:r>
    </w:p>
    <w:p w14:paraId="417D8DA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3.本项目的特定资格要求：供应商未被“信用中国”网站（www.creditchina.gov.cn）列入失信被执行人、重大税收违法案件当事人名单、政府采购严重失信行为记录名单。</w:t>
      </w:r>
    </w:p>
    <w:p w14:paraId="169A02D7">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三、响应文件提交截止时间和地点</w:t>
      </w:r>
    </w:p>
    <w:p w14:paraId="094B22C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投标人应于2025年</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月</w:t>
      </w:r>
      <w:r>
        <w:rPr>
          <w:rFonts w:hint="eastAsia" w:ascii="仿宋" w:hAnsi="仿宋" w:eastAsia="仿宋" w:cs="仿宋"/>
          <w:b w:val="0"/>
          <w:bCs/>
          <w:color w:val="auto"/>
          <w:sz w:val="24"/>
          <w:szCs w:val="24"/>
          <w:highlight w:val="none"/>
          <w:lang w:val="en-US" w:eastAsia="zh-CN"/>
        </w:rPr>
        <w:t>28</w:t>
      </w:r>
      <w:bookmarkStart w:id="244" w:name="_GoBack"/>
      <w:bookmarkEnd w:id="244"/>
      <w:r>
        <w:rPr>
          <w:rFonts w:hint="eastAsia" w:ascii="仿宋" w:hAnsi="仿宋" w:eastAsia="仿宋" w:cs="仿宋"/>
          <w:b w:val="0"/>
          <w:bCs/>
          <w:color w:val="auto"/>
          <w:sz w:val="24"/>
          <w:szCs w:val="24"/>
          <w:highlight w:val="none"/>
          <w:lang w:eastAsia="zh-CN"/>
        </w:rPr>
        <w:t>日17时30分（北京时间）前寄出（以邮戳时间为准），地址：南通市崇川区江海大道989号 南通市农产品质量检验测试中心。联系人：</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568B5315">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四、公告期限</w:t>
      </w:r>
    </w:p>
    <w:p w14:paraId="2E40A35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自本公告发布之日起</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个工作日。</w:t>
      </w:r>
    </w:p>
    <w:p w14:paraId="33602E4B">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五、成交原则、方式</w:t>
      </w:r>
    </w:p>
    <w:p w14:paraId="495B0539">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1.按照质量和服务均能满足招标采购文件实质性响应要求且以报价最低原则，确定成交供应商。供应商随意、恶意报价，或未按招标文件要求进行报价的，将取消其中标资格。</w:t>
      </w:r>
    </w:p>
    <w:p w14:paraId="13CA68B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2.采用单价成交，按实际需求供货。</w:t>
      </w:r>
    </w:p>
    <w:p w14:paraId="4B972BEA">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六、其他补充事宜</w:t>
      </w:r>
    </w:p>
    <w:p w14:paraId="5D651E7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1.投标保证金：免收。</w:t>
      </w:r>
    </w:p>
    <w:p w14:paraId="2D9FFE5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2.履约保证金：免收。</w:t>
      </w:r>
    </w:p>
    <w:p w14:paraId="1708DE1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3.项目开标活动模式：邮寄响应文件，另行开标。</w:t>
      </w:r>
    </w:p>
    <w:p w14:paraId="2A8E17B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4.对项目需求部分（项目需求）的询问、质疑请向采购人提出，由采购人负责答复。</w:t>
      </w:r>
    </w:p>
    <w:p w14:paraId="04923239">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5.供应商应依照规定提交各类声明函、承诺函和相关证明材料复印件并加盖公章，不再同时提供原件备查或提供有关部门出具的相关证明文件。成交供应商供货时应做好提交声明函、承诺函相应原件的核查准备；核查后发现虚假或违背承诺的，采购人有权拒收并依照相关法律法规规定处理。</w:t>
      </w:r>
    </w:p>
    <w:p w14:paraId="482027F9">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七、对本次采购提出询问，请按以下方式联系。</w:t>
      </w:r>
    </w:p>
    <w:p w14:paraId="1A97ACE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采购人信息：</w:t>
      </w:r>
    </w:p>
    <w:p w14:paraId="79AA14B0">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名称：南通市农产品质量检验测试中心</w:t>
      </w:r>
    </w:p>
    <w:p w14:paraId="38964CD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地址：江苏省南通市崇川区江海大道989号</w:t>
      </w:r>
    </w:p>
    <w:p w14:paraId="0C0EA3C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联系方式：</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5AD55D2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监督电话：沈女士（0513-59002196）</w:t>
      </w:r>
    </w:p>
    <w:p w14:paraId="1D113202">
      <w:pPr>
        <w:widowControl/>
        <w:shd w:val="clear" w:color="auto" w:fill="FFFFFF"/>
        <w:spacing w:line="360" w:lineRule="auto"/>
        <w:ind w:firstLine="480" w:firstLineChars="200"/>
        <w:jc w:val="righ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南通市农产品质量检验测试中心</w:t>
      </w:r>
    </w:p>
    <w:bookmarkEnd w:id="0"/>
    <w:bookmarkEnd w:id="2"/>
    <w:bookmarkEnd w:id="3"/>
    <w:bookmarkEnd w:id="4"/>
    <w:bookmarkEnd w:id="5"/>
    <w:p w14:paraId="21823EBB">
      <w:pPr>
        <w:widowControl/>
        <w:jc w:val="right"/>
        <w:rPr>
          <w:rFonts w:ascii="仿宋" w:hAnsi="仿宋" w:eastAsia="仿宋"/>
          <w:color w:val="auto"/>
          <w:sz w:val="28"/>
          <w:szCs w:val="28"/>
          <w:highlight w:val="none"/>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2025</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b w:val="0"/>
          <w:bCs/>
          <w:color w:val="000000" w:themeColor="text1"/>
          <w:sz w:val="24"/>
          <w:szCs w:val="24"/>
          <w:highlight w:val="none"/>
          <w14:textFill>
            <w14:solidFill>
              <w14:schemeClr w14:val="tx1"/>
            </w14:solidFill>
          </w14:textFill>
        </w:rPr>
        <w:t>日</w:t>
      </w:r>
      <w:r>
        <w:rPr>
          <w:rFonts w:ascii="仿宋" w:hAnsi="仿宋" w:eastAsia="仿宋"/>
          <w:color w:val="auto"/>
          <w:sz w:val="28"/>
          <w:szCs w:val="28"/>
          <w:highlight w:val="none"/>
        </w:rPr>
        <w:br w:type="page"/>
      </w:r>
    </w:p>
    <w:p w14:paraId="7E799DB3">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第二部分 </w:t>
      </w:r>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须知</w:t>
      </w:r>
    </w:p>
    <w:p w14:paraId="6E3B688A">
      <w:pPr>
        <w:pStyle w:val="3"/>
        <w:spacing w:before="0" w:after="0" w:line="360" w:lineRule="auto"/>
        <w:rPr>
          <w:rFonts w:ascii="仿宋" w:hAnsi="仿宋" w:eastAsia="仿宋"/>
          <w:color w:val="auto"/>
          <w:sz w:val="24"/>
          <w:szCs w:val="24"/>
          <w:highlight w:val="none"/>
        </w:rPr>
      </w:pPr>
      <w:bookmarkStart w:id="6" w:name="_Toc513029203"/>
      <w:bookmarkStart w:id="7" w:name="_Toc120614214"/>
      <w:bookmarkStart w:id="8" w:name="_Toc20823275"/>
      <w:bookmarkStart w:id="9" w:name="_Toc16938519"/>
      <w:r>
        <w:rPr>
          <w:rFonts w:ascii="仿宋" w:hAnsi="仿宋" w:eastAsia="仿宋"/>
          <w:color w:val="auto"/>
          <w:sz w:val="24"/>
          <w:szCs w:val="24"/>
          <w:highlight w:val="none"/>
        </w:rPr>
        <w:t>（一）总则</w:t>
      </w:r>
      <w:bookmarkEnd w:id="6"/>
      <w:bookmarkEnd w:id="7"/>
      <w:bookmarkEnd w:id="8"/>
      <w:bookmarkEnd w:id="9"/>
    </w:p>
    <w:p w14:paraId="51654092">
      <w:pPr>
        <w:pStyle w:val="4"/>
        <w:spacing w:before="0" w:after="0" w:line="360" w:lineRule="auto"/>
        <w:rPr>
          <w:rFonts w:ascii="仿宋" w:hAnsi="仿宋" w:eastAsia="仿宋"/>
          <w:color w:val="auto"/>
          <w:sz w:val="24"/>
          <w:szCs w:val="24"/>
          <w:highlight w:val="none"/>
        </w:rPr>
      </w:pPr>
      <w:bookmarkStart w:id="10" w:name="_Hlt16619475"/>
      <w:bookmarkEnd w:id="10"/>
      <w:bookmarkStart w:id="11" w:name="_Toc458694821"/>
      <w:bookmarkStart w:id="12" w:name="_Toc513029204"/>
      <w:bookmarkStart w:id="13" w:name="_Toc16938520"/>
      <w:bookmarkStart w:id="14" w:name="_Toc20823276"/>
      <w:r>
        <w:rPr>
          <w:rFonts w:ascii="仿宋" w:hAnsi="仿宋" w:eastAsia="仿宋"/>
          <w:color w:val="auto"/>
          <w:sz w:val="24"/>
          <w:szCs w:val="24"/>
          <w:highlight w:val="none"/>
        </w:rPr>
        <w:t>1</w:t>
      </w:r>
      <w:bookmarkEnd w:id="11"/>
      <w:r>
        <w:rPr>
          <w:rFonts w:ascii="仿宋" w:hAnsi="仿宋" w:eastAsia="仿宋"/>
          <w:color w:val="auto"/>
          <w:sz w:val="24"/>
          <w:szCs w:val="24"/>
          <w:highlight w:val="none"/>
        </w:rPr>
        <w:t>.采购方式</w:t>
      </w:r>
      <w:bookmarkEnd w:id="12"/>
      <w:bookmarkEnd w:id="13"/>
      <w:bookmarkEnd w:id="14"/>
    </w:p>
    <w:p w14:paraId="325CD3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本次采取</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方式，本采购文件仅适用于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公告中所述项目。</w:t>
      </w:r>
    </w:p>
    <w:p w14:paraId="1FF7F245">
      <w:pPr>
        <w:pStyle w:val="4"/>
        <w:spacing w:before="0" w:after="0" w:line="360" w:lineRule="auto"/>
        <w:rPr>
          <w:rFonts w:ascii="仿宋" w:hAnsi="仿宋" w:eastAsia="仿宋"/>
          <w:color w:val="auto"/>
          <w:sz w:val="24"/>
          <w:szCs w:val="24"/>
          <w:highlight w:val="none"/>
        </w:rPr>
      </w:pPr>
      <w:bookmarkStart w:id="15" w:name="_Toc513029205"/>
      <w:bookmarkStart w:id="16" w:name="_Toc20823277"/>
      <w:bookmarkStart w:id="17" w:name="_Toc16938521"/>
      <w:r>
        <w:rPr>
          <w:rFonts w:ascii="仿宋" w:hAnsi="仿宋" w:eastAsia="仿宋"/>
          <w:color w:val="auto"/>
          <w:sz w:val="24"/>
          <w:szCs w:val="24"/>
          <w:highlight w:val="none"/>
        </w:rPr>
        <w:t>2.合格的</w:t>
      </w:r>
      <w:bookmarkEnd w:id="15"/>
      <w:bookmarkEnd w:id="16"/>
      <w:bookmarkEnd w:id="17"/>
      <w:r>
        <w:rPr>
          <w:rFonts w:ascii="仿宋" w:hAnsi="仿宋" w:eastAsia="仿宋"/>
          <w:color w:val="auto"/>
          <w:sz w:val="24"/>
          <w:szCs w:val="24"/>
          <w:highlight w:val="none"/>
        </w:rPr>
        <w:t>供应商</w:t>
      </w:r>
    </w:p>
    <w:p w14:paraId="0A17985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满足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公告中供应商的资格要求的规定。</w:t>
      </w:r>
    </w:p>
    <w:p w14:paraId="1270413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14:paraId="095652D9">
      <w:pPr>
        <w:pStyle w:val="4"/>
        <w:spacing w:before="0" w:after="0" w:line="360" w:lineRule="auto"/>
        <w:rPr>
          <w:rFonts w:ascii="仿宋" w:hAnsi="仿宋" w:eastAsia="仿宋"/>
          <w:color w:val="auto"/>
          <w:sz w:val="24"/>
          <w:szCs w:val="24"/>
          <w:highlight w:val="none"/>
        </w:rPr>
      </w:pPr>
      <w:bookmarkStart w:id="18" w:name="_Toc20823278"/>
      <w:bookmarkStart w:id="19" w:name="_Toc513029206"/>
      <w:bookmarkStart w:id="20" w:name="_Toc16938522"/>
      <w:r>
        <w:rPr>
          <w:rFonts w:ascii="仿宋" w:hAnsi="仿宋" w:eastAsia="仿宋"/>
          <w:color w:val="auto"/>
          <w:sz w:val="24"/>
          <w:szCs w:val="24"/>
          <w:highlight w:val="none"/>
        </w:rPr>
        <w:t>3.适用法律</w:t>
      </w:r>
      <w:bookmarkEnd w:id="18"/>
      <w:bookmarkEnd w:id="19"/>
      <w:bookmarkEnd w:id="20"/>
    </w:p>
    <w:p w14:paraId="6F37582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14:paraId="031B8E9A">
      <w:pPr>
        <w:pStyle w:val="4"/>
        <w:spacing w:before="0" w:after="0" w:line="360" w:lineRule="auto"/>
        <w:rPr>
          <w:rFonts w:ascii="仿宋" w:hAnsi="仿宋" w:eastAsia="仿宋"/>
          <w:color w:val="auto"/>
          <w:sz w:val="24"/>
          <w:szCs w:val="24"/>
          <w:highlight w:val="none"/>
        </w:rPr>
      </w:pPr>
      <w:bookmarkStart w:id="21" w:name="_Toc513029207"/>
      <w:bookmarkStart w:id="22" w:name="_Toc20823279"/>
      <w:bookmarkStart w:id="23" w:name="_Toc462564067"/>
      <w:bookmarkStart w:id="24" w:name="_Toc16938523"/>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费用</w:t>
      </w:r>
      <w:bookmarkEnd w:id="21"/>
      <w:bookmarkEnd w:id="22"/>
      <w:bookmarkEnd w:id="23"/>
      <w:bookmarkEnd w:id="24"/>
    </w:p>
    <w:p w14:paraId="2FDA7F5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供应商应自行承担所有与参加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有关的费用，无论过程中的做法和结果如何，</w:t>
      </w:r>
      <w:r>
        <w:rPr>
          <w:rFonts w:hint="eastAsia" w:ascii="仿宋" w:hAnsi="仿宋" w:eastAsia="仿宋" w:cs="仿宋"/>
          <w:color w:val="auto"/>
          <w:sz w:val="24"/>
          <w:szCs w:val="24"/>
          <w:highlight w:val="none"/>
        </w:rPr>
        <w:t>采购人</w:t>
      </w:r>
      <w:r>
        <w:rPr>
          <w:rFonts w:ascii="仿宋" w:hAnsi="仿宋" w:eastAsia="仿宋" w:cs="仿宋"/>
          <w:color w:val="auto"/>
          <w:sz w:val="24"/>
          <w:szCs w:val="24"/>
          <w:highlight w:val="none"/>
        </w:rPr>
        <w:t>在任何情况下均无义务和责任承担这些费用。</w:t>
      </w:r>
    </w:p>
    <w:p w14:paraId="0FE5041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采购人不收取任何费用。</w:t>
      </w:r>
    </w:p>
    <w:p w14:paraId="71C94CC6">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5.采购文件的约束力</w:t>
      </w:r>
    </w:p>
    <w:p w14:paraId="38E0101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供应商一旦参加本项目采购活动，即被认为接受了本采购文件的规定和约束。</w:t>
      </w:r>
    </w:p>
    <w:p w14:paraId="676B64BD">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6.采购文件的解释</w:t>
      </w:r>
    </w:p>
    <w:p w14:paraId="3C03FA9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采购文件需求部分（项目需求）由采购人解释。</w:t>
      </w:r>
    </w:p>
    <w:p w14:paraId="3B457CA7">
      <w:pPr>
        <w:pStyle w:val="3"/>
        <w:spacing w:before="0" w:after="0" w:line="360" w:lineRule="auto"/>
        <w:rPr>
          <w:rFonts w:ascii="仿宋" w:hAnsi="仿宋" w:eastAsia="仿宋"/>
          <w:color w:val="auto"/>
          <w:sz w:val="24"/>
          <w:szCs w:val="24"/>
          <w:highlight w:val="none"/>
        </w:rPr>
      </w:pPr>
      <w:bookmarkStart w:id="25" w:name="_Toc20823281"/>
      <w:bookmarkStart w:id="26" w:name="_Toc120614215"/>
      <w:bookmarkStart w:id="27" w:name="_Toc16938525"/>
      <w:bookmarkStart w:id="28" w:name="_Toc513029209"/>
      <w:r>
        <w:rPr>
          <w:rFonts w:ascii="仿宋" w:hAnsi="仿宋" w:eastAsia="仿宋"/>
          <w:color w:val="auto"/>
          <w:sz w:val="24"/>
          <w:szCs w:val="24"/>
          <w:highlight w:val="none"/>
        </w:rPr>
        <w:t>（二）采购文件</w:t>
      </w:r>
      <w:bookmarkEnd w:id="25"/>
      <w:bookmarkEnd w:id="26"/>
      <w:bookmarkEnd w:id="27"/>
      <w:bookmarkEnd w:id="28"/>
    </w:p>
    <w:p w14:paraId="15178EAB">
      <w:pPr>
        <w:pStyle w:val="4"/>
        <w:spacing w:before="0" w:after="0" w:line="360" w:lineRule="auto"/>
        <w:rPr>
          <w:rFonts w:ascii="仿宋" w:hAnsi="仿宋" w:eastAsia="仿宋"/>
          <w:color w:val="auto"/>
          <w:sz w:val="24"/>
          <w:szCs w:val="24"/>
          <w:highlight w:val="none"/>
        </w:rPr>
      </w:pPr>
      <w:bookmarkStart w:id="29" w:name="_Toc16938526"/>
      <w:bookmarkStart w:id="30" w:name="_Toc20823282"/>
      <w:bookmarkStart w:id="31" w:name="_Toc513029210"/>
      <w:r>
        <w:rPr>
          <w:rFonts w:ascii="仿宋" w:hAnsi="仿宋" w:eastAsia="仿宋"/>
          <w:color w:val="auto"/>
          <w:sz w:val="24"/>
          <w:szCs w:val="24"/>
          <w:highlight w:val="none"/>
        </w:rPr>
        <w:t>1.采购文件构成</w:t>
      </w:r>
      <w:bookmarkEnd w:id="29"/>
      <w:bookmarkEnd w:id="30"/>
      <w:bookmarkEnd w:id="31"/>
    </w:p>
    <w:p w14:paraId="684706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采购文件由以下部分组成：</w:t>
      </w:r>
    </w:p>
    <w:p w14:paraId="05DB94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公告</w:t>
      </w:r>
    </w:p>
    <w:p w14:paraId="04F99B4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须知</w:t>
      </w:r>
    </w:p>
    <w:p w14:paraId="4DEFCF6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14:paraId="576D6A8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14:paraId="53D067A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14:paraId="25DA7B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14:paraId="2BA78EE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（7）附件</w:t>
      </w:r>
    </w:p>
    <w:p w14:paraId="2889364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请仔细检查采购文件是否齐全，如有缺漏请立即与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联系解决。</w:t>
      </w:r>
    </w:p>
    <w:p w14:paraId="22707ED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709B06C9">
      <w:pPr>
        <w:pStyle w:val="4"/>
        <w:spacing w:before="0" w:after="0" w:line="360" w:lineRule="auto"/>
        <w:rPr>
          <w:rFonts w:ascii="仿宋" w:hAnsi="仿宋" w:eastAsia="仿宋"/>
          <w:color w:val="auto"/>
          <w:sz w:val="24"/>
          <w:szCs w:val="24"/>
          <w:highlight w:val="none"/>
        </w:rPr>
      </w:pPr>
      <w:bookmarkStart w:id="32" w:name="_Toc16938527"/>
      <w:bookmarkStart w:id="33" w:name="_Toc462564070"/>
      <w:bookmarkStart w:id="34" w:name="_Toc513029211"/>
      <w:bookmarkStart w:id="35" w:name="_Toc20823283"/>
      <w:r>
        <w:rPr>
          <w:rFonts w:ascii="仿宋" w:hAnsi="仿宋" w:eastAsia="仿宋"/>
          <w:color w:val="auto"/>
          <w:sz w:val="24"/>
          <w:szCs w:val="24"/>
          <w:highlight w:val="none"/>
        </w:rPr>
        <w:t>2.采购文件的澄清</w:t>
      </w:r>
      <w:bookmarkEnd w:id="32"/>
      <w:bookmarkEnd w:id="33"/>
      <w:bookmarkEnd w:id="34"/>
      <w:bookmarkEnd w:id="35"/>
    </w:p>
    <w:p w14:paraId="7EB2C3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任何要求对采购文件进行澄清的供应商，应在提交首次响应文件截止时间</w:t>
      </w:r>
      <w:r>
        <w:rPr>
          <w:rFonts w:hint="eastAsia" w:ascii="仿宋" w:hAnsi="仿宋" w:eastAsia="仿宋" w:cs="仿宋"/>
          <w:color w:val="auto"/>
          <w:sz w:val="24"/>
          <w:szCs w:val="24"/>
          <w:highlight w:val="none"/>
          <w:lang w:val="en-US" w:eastAsia="zh-CN"/>
        </w:rPr>
        <w:t>三</w:t>
      </w:r>
      <w:r>
        <w:rPr>
          <w:rFonts w:ascii="仿宋" w:hAnsi="仿宋" w:eastAsia="仿宋" w:cs="仿宋"/>
          <w:color w:val="auto"/>
          <w:sz w:val="24"/>
          <w:szCs w:val="24"/>
          <w:highlight w:val="none"/>
        </w:rPr>
        <w:t>日前按</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公告中的通讯地址，以书面形式通知采购人。采购人有权对发出的采购文件进行必要的澄清或修改。</w:t>
      </w:r>
    </w:p>
    <w:p w14:paraId="0463201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14:paraId="2896802E">
      <w:pPr>
        <w:pStyle w:val="4"/>
        <w:spacing w:before="0" w:after="0" w:line="360" w:lineRule="auto"/>
        <w:rPr>
          <w:rFonts w:ascii="仿宋" w:hAnsi="仿宋" w:eastAsia="仿宋"/>
          <w:color w:val="auto"/>
          <w:sz w:val="24"/>
          <w:szCs w:val="24"/>
          <w:highlight w:val="none"/>
        </w:rPr>
      </w:pPr>
      <w:bookmarkStart w:id="36" w:name="_Toc462564071"/>
      <w:bookmarkStart w:id="37" w:name="_Toc16938528"/>
      <w:bookmarkStart w:id="38" w:name="_Toc20823284"/>
      <w:bookmarkStart w:id="39" w:name="_Toc513029212"/>
      <w:r>
        <w:rPr>
          <w:rFonts w:ascii="仿宋" w:hAnsi="仿宋" w:eastAsia="仿宋"/>
          <w:color w:val="auto"/>
          <w:sz w:val="24"/>
          <w:szCs w:val="24"/>
          <w:highlight w:val="none"/>
        </w:rPr>
        <w:t>3.采购文件的修改</w:t>
      </w:r>
      <w:bookmarkEnd w:id="36"/>
      <w:bookmarkEnd w:id="37"/>
      <w:bookmarkEnd w:id="38"/>
      <w:bookmarkEnd w:id="39"/>
    </w:p>
    <w:p w14:paraId="4B58CD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可以对采购文件进行修改。</w:t>
      </w:r>
    </w:p>
    <w:p w14:paraId="7286BA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有权按照法定的要求推迟响应文件提交截止日期和</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日期。</w:t>
      </w:r>
    </w:p>
    <w:p w14:paraId="7F9C6F8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采购文件的修改将在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公布，补充文件将作为采购文件的组成部分，并对供应商具有约束力。</w:t>
      </w:r>
    </w:p>
    <w:p w14:paraId="2C59A7B3">
      <w:pPr>
        <w:pStyle w:val="3"/>
        <w:spacing w:before="0" w:after="0" w:line="360" w:lineRule="auto"/>
        <w:rPr>
          <w:rFonts w:ascii="仿宋" w:hAnsi="仿宋" w:eastAsia="仿宋"/>
          <w:color w:val="auto"/>
          <w:sz w:val="24"/>
          <w:szCs w:val="24"/>
          <w:highlight w:val="none"/>
        </w:rPr>
      </w:pPr>
      <w:bookmarkStart w:id="40" w:name="_Toc120614216"/>
      <w:bookmarkStart w:id="41" w:name="_Toc20823285"/>
      <w:bookmarkStart w:id="42" w:name="_Toc462564072"/>
      <w:bookmarkStart w:id="43" w:name="_Toc16938529"/>
      <w:bookmarkStart w:id="44" w:name="_Toc513029213"/>
      <w:r>
        <w:rPr>
          <w:rFonts w:ascii="仿宋" w:hAnsi="仿宋" w:eastAsia="仿宋"/>
          <w:color w:val="auto"/>
          <w:sz w:val="24"/>
          <w:szCs w:val="24"/>
          <w:highlight w:val="none"/>
        </w:rPr>
        <w:t>（三）响应文件的编制</w:t>
      </w:r>
      <w:bookmarkEnd w:id="40"/>
      <w:bookmarkEnd w:id="41"/>
      <w:bookmarkEnd w:id="42"/>
      <w:bookmarkEnd w:id="43"/>
      <w:bookmarkEnd w:id="44"/>
    </w:p>
    <w:p w14:paraId="7DC03EF0">
      <w:pPr>
        <w:pStyle w:val="4"/>
        <w:spacing w:before="0" w:after="0" w:line="360" w:lineRule="auto"/>
        <w:rPr>
          <w:rFonts w:ascii="仿宋" w:hAnsi="仿宋" w:eastAsia="仿宋"/>
          <w:color w:val="auto"/>
          <w:sz w:val="24"/>
          <w:szCs w:val="24"/>
          <w:highlight w:val="none"/>
        </w:rPr>
      </w:pPr>
      <w:bookmarkStart w:id="45" w:name="_Toc462564073"/>
      <w:bookmarkStart w:id="46" w:name="_Toc20823286"/>
      <w:bookmarkStart w:id="47" w:name="_Toc513029214"/>
      <w:bookmarkStart w:id="48" w:name="_Toc16938530"/>
      <w:r>
        <w:rPr>
          <w:rFonts w:ascii="仿宋" w:hAnsi="仿宋" w:eastAsia="仿宋"/>
          <w:color w:val="auto"/>
          <w:sz w:val="24"/>
          <w:szCs w:val="24"/>
          <w:highlight w:val="none"/>
        </w:rPr>
        <w:t>1.响应文件的语言及度量衡单位</w:t>
      </w:r>
      <w:bookmarkEnd w:id="45"/>
      <w:bookmarkEnd w:id="46"/>
      <w:bookmarkEnd w:id="47"/>
      <w:bookmarkEnd w:id="48"/>
    </w:p>
    <w:p w14:paraId="7868C19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就有关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的所有来往通知、函件和文件均应使用简体中文。</w:t>
      </w:r>
    </w:p>
    <w:p w14:paraId="5BF4E06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14:paraId="435D976D">
      <w:pPr>
        <w:pStyle w:val="4"/>
        <w:spacing w:before="0" w:after="0" w:line="360" w:lineRule="auto"/>
        <w:rPr>
          <w:rFonts w:ascii="仿宋" w:hAnsi="仿宋" w:eastAsia="仿宋"/>
          <w:color w:val="auto"/>
          <w:sz w:val="24"/>
          <w:szCs w:val="24"/>
          <w:highlight w:val="none"/>
        </w:rPr>
      </w:pPr>
      <w:bookmarkStart w:id="49" w:name="_Toc513029215"/>
      <w:bookmarkStart w:id="50" w:name="_Toc462564074"/>
      <w:bookmarkStart w:id="51" w:name="_Toc16938531"/>
      <w:bookmarkStart w:id="52" w:name="_Toc20823287"/>
      <w:r>
        <w:rPr>
          <w:rFonts w:ascii="仿宋" w:hAnsi="仿宋" w:eastAsia="仿宋"/>
          <w:color w:val="auto"/>
          <w:sz w:val="24"/>
          <w:szCs w:val="24"/>
          <w:highlight w:val="none"/>
        </w:rPr>
        <w:t>2.响应文件构成</w:t>
      </w:r>
      <w:bookmarkEnd w:id="49"/>
      <w:bookmarkEnd w:id="50"/>
      <w:bookmarkEnd w:id="51"/>
      <w:bookmarkEnd w:id="52"/>
    </w:p>
    <w:p w14:paraId="6C90211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供应商编写的响应文件应包括资格审查证明材料文件、商务技术标文件、价格标文件。供应商按“第</w:t>
      </w:r>
      <w:r>
        <w:rPr>
          <w:rFonts w:hint="eastAsia" w:ascii="仿宋" w:hAnsi="仿宋" w:eastAsia="仿宋" w:cs="仿宋"/>
          <w:color w:val="auto"/>
          <w:sz w:val="24"/>
          <w:szCs w:val="24"/>
          <w:highlight w:val="none"/>
        </w:rPr>
        <w:t>六</w:t>
      </w:r>
      <w:r>
        <w:rPr>
          <w:rFonts w:ascii="仿宋" w:hAnsi="仿宋" w:eastAsia="仿宋" w:cs="仿宋"/>
          <w:color w:val="auto"/>
          <w:sz w:val="24"/>
          <w:szCs w:val="24"/>
          <w:highlight w:val="none"/>
        </w:rPr>
        <w:t>部分 响应文件组成”要求编写响应文件。</w:t>
      </w:r>
    </w:p>
    <w:p w14:paraId="57E2A43A">
      <w:pPr>
        <w:pStyle w:val="4"/>
        <w:spacing w:before="0" w:after="0" w:line="360" w:lineRule="auto"/>
        <w:rPr>
          <w:rFonts w:ascii="仿宋" w:hAnsi="仿宋" w:eastAsia="仿宋"/>
          <w:color w:val="auto"/>
          <w:sz w:val="24"/>
          <w:szCs w:val="24"/>
          <w:highlight w:val="none"/>
        </w:rPr>
      </w:pPr>
      <w:bookmarkStart w:id="53" w:name="_Hlt26668975"/>
      <w:bookmarkEnd w:id="53"/>
      <w:bookmarkStart w:id="54" w:name="_Hlt26670360"/>
      <w:bookmarkEnd w:id="54"/>
      <w:bookmarkStart w:id="55" w:name="_Hlt26954838"/>
      <w:bookmarkEnd w:id="55"/>
      <w:bookmarkStart w:id="56" w:name="_Toc14577360"/>
      <w:bookmarkStart w:id="57" w:name="_Toc49090511"/>
      <w:r>
        <w:rPr>
          <w:rFonts w:ascii="仿宋" w:hAnsi="仿宋" w:eastAsia="仿宋"/>
          <w:color w:val="auto"/>
          <w:sz w:val="24"/>
          <w:szCs w:val="24"/>
          <w:highlight w:val="none"/>
        </w:rPr>
        <w:t>3.</w:t>
      </w:r>
      <w:bookmarkEnd w:id="56"/>
      <w:bookmarkEnd w:id="57"/>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w:t>
      </w:r>
    </w:p>
    <w:p w14:paraId="56CB263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规定的响应文件提交截止时间后六十（60）天。</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响应有效期比规定短的将被视为非实质性响应而予以拒绝。</w:t>
      </w:r>
    </w:p>
    <w:p w14:paraId="444A987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响应有效期的延长</w:t>
      </w:r>
    </w:p>
    <w:p w14:paraId="75EFB7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在特殊情况下，</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于原</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响应有效期满之前，可向供应商提出延长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响应有效期的要求。这种要求与答复均应采用书面形式。供应商可以拒绝</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的这一要求而放弃响应，同意延长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响应有效期的供应商既不能要求也不允许修改其响应文件。受</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响应有效期约束的所有权利与义务均延长至新的有效期。</w:t>
      </w:r>
    </w:p>
    <w:p w14:paraId="2677FEBC">
      <w:pPr>
        <w:pStyle w:val="3"/>
        <w:spacing w:before="0" w:after="0" w:line="360" w:lineRule="auto"/>
        <w:rPr>
          <w:rFonts w:ascii="仿宋" w:hAnsi="仿宋" w:eastAsia="仿宋"/>
          <w:color w:val="auto"/>
          <w:sz w:val="24"/>
          <w:szCs w:val="24"/>
          <w:highlight w:val="none"/>
        </w:rPr>
      </w:pPr>
      <w:bookmarkStart w:id="58" w:name="_Hlt26954852"/>
      <w:bookmarkEnd w:id="58"/>
      <w:bookmarkStart w:id="59" w:name="_Hlt26954739"/>
      <w:bookmarkEnd w:id="59"/>
      <w:bookmarkStart w:id="60" w:name="_Toc16938540"/>
      <w:bookmarkStart w:id="61" w:name="_Toc120614217"/>
      <w:bookmarkStart w:id="62" w:name="_Toc513029224"/>
      <w:bookmarkStart w:id="63" w:name="_Toc20823296"/>
      <w:r>
        <w:rPr>
          <w:rFonts w:ascii="仿宋" w:hAnsi="仿宋" w:eastAsia="仿宋"/>
          <w:color w:val="auto"/>
          <w:sz w:val="24"/>
          <w:szCs w:val="24"/>
          <w:highlight w:val="none"/>
        </w:rPr>
        <w:t>（四）响应文件的提交</w:t>
      </w:r>
      <w:bookmarkEnd w:id="60"/>
      <w:bookmarkEnd w:id="61"/>
      <w:bookmarkEnd w:id="62"/>
      <w:bookmarkEnd w:id="63"/>
    </w:p>
    <w:p w14:paraId="42B3AC34">
      <w:pPr>
        <w:pStyle w:val="4"/>
        <w:spacing w:before="0" w:after="0" w:line="360" w:lineRule="auto"/>
        <w:rPr>
          <w:rFonts w:ascii="仿宋" w:hAnsi="仿宋" w:eastAsia="仿宋"/>
          <w:color w:val="auto"/>
          <w:sz w:val="24"/>
          <w:szCs w:val="24"/>
          <w:highlight w:val="none"/>
        </w:rPr>
      </w:pPr>
      <w:bookmarkStart w:id="64" w:name="_Toc20823297"/>
      <w:bookmarkStart w:id="65" w:name="_Toc462564084"/>
      <w:bookmarkStart w:id="66" w:name="_Toc513029225"/>
      <w:bookmarkStart w:id="67" w:name="_Toc16938541"/>
      <w:r>
        <w:rPr>
          <w:rFonts w:ascii="仿宋" w:hAnsi="仿宋" w:eastAsia="仿宋"/>
          <w:color w:val="auto"/>
          <w:sz w:val="24"/>
          <w:szCs w:val="24"/>
          <w:highlight w:val="none"/>
        </w:rPr>
        <w:t>1.</w:t>
      </w:r>
      <w:bookmarkEnd w:id="64"/>
      <w:bookmarkEnd w:id="65"/>
      <w:bookmarkEnd w:id="66"/>
      <w:bookmarkEnd w:id="67"/>
      <w:r>
        <w:rPr>
          <w:rFonts w:hint="eastAsia" w:ascii="仿宋" w:hAnsi="仿宋" w:eastAsia="仿宋"/>
          <w:color w:val="auto"/>
          <w:sz w:val="24"/>
          <w:szCs w:val="24"/>
          <w:highlight w:val="none"/>
        </w:rPr>
        <w:t>响应文件的密封及标记</w:t>
      </w:r>
    </w:p>
    <w:p w14:paraId="67EEE8B6">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资格审查文件、商务技术响应文件、报价响应文件可合并制作（一正二副，密封并牢固装订）。</w:t>
      </w:r>
    </w:p>
    <w:p w14:paraId="1AF83FFD">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密封后应标明响应文件项目名称、项目编号、边缝处加盖单位骑缝章或骑缝签字，并注明于开标前不得启封。</w:t>
      </w:r>
    </w:p>
    <w:p w14:paraId="7B381B3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将拒绝接收未按照采购文件要求密封的响应文件</w:t>
      </w:r>
      <w:r>
        <w:rPr>
          <w:rFonts w:ascii="仿宋" w:hAnsi="仿宋" w:eastAsia="仿宋" w:cs="仿宋"/>
          <w:color w:val="auto"/>
          <w:sz w:val="24"/>
          <w:szCs w:val="24"/>
          <w:highlight w:val="none"/>
        </w:rPr>
        <w:t>。</w:t>
      </w:r>
      <w:bookmarkStart w:id="68" w:name="_Toc20823298"/>
      <w:bookmarkStart w:id="69" w:name="_Toc16938542"/>
      <w:bookmarkStart w:id="70" w:name="_Toc513029226"/>
    </w:p>
    <w:p w14:paraId="2CB60566">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8"/>
      <w:bookmarkEnd w:id="69"/>
      <w:bookmarkEnd w:id="70"/>
    </w:p>
    <w:p w14:paraId="356FC77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公告中规定的响应文件提交截止时间。</w:t>
      </w:r>
    </w:p>
    <w:p w14:paraId="6D5FD1B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619AC1FF">
      <w:pPr>
        <w:pStyle w:val="4"/>
        <w:spacing w:before="0" w:after="0" w:line="360" w:lineRule="auto"/>
        <w:rPr>
          <w:rFonts w:ascii="仿宋" w:hAnsi="仿宋" w:eastAsia="仿宋"/>
          <w:color w:val="auto"/>
          <w:sz w:val="24"/>
          <w:szCs w:val="24"/>
          <w:highlight w:val="none"/>
        </w:rPr>
      </w:pPr>
      <w:bookmarkStart w:id="71" w:name="_Toc513029227"/>
      <w:bookmarkStart w:id="72" w:name="_Toc16938543"/>
      <w:bookmarkStart w:id="73" w:name="_Toc20823299"/>
      <w:r>
        <w:rPr>
          <w:rFonts w:ascii="仿宋" w:hAnsi="仿宋" w:eastAsia="仿宋"/>
          <w:color w:val="auto"/>
          <w:sz w:val="24"/>
          <w:szCs w:val="24"/>
          <w:highlight w:val="none"/>
        </w:rPr>
        <w:t>3.响应文件</w:t>
      </w:r>
      <w:bookmarkEnd w:id="71"/>
      <w:bookmarkEnd w:id="72"/>
      <w:bookmarkEnd w:id="73"/>
      <w:r>
        <w:rPr>
          <w:rFonts w:ascii="仿宋" w:hAnsi="仿宋" w:eastAsia="仿宋"/>
          <w:color w:val="auto"/>
          <w:sz w:val="24"/>
          <w:szCs w:val="24"/>
          <w:highlight w:val="none"/>
        </w:rPr>
        <w:t>的拒收</w:t>
      </w:r>
    </w:p>
    <w:p w14:paraId="039AD19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14:paraId="304D0D88">
      <w:pPr>
        <w:pStyle w:val="4"/>
        <w:spacing w:before="0" w:after="0" w:line="360" w:lineRule="auto"/>
        <w:rPr>
          <w:rFonts w:ascii="仿宋" w:hAnsi="仿宋" w:eastAsia="仿宋"/>
          <w:color w:val="auto"/>
          <w:sz w:val="24"/>
          <w:szCs w:val="24"/>
          <w:highlight w:val="none"/>
        </w:rPr>
      </w:pPr>
      <w:bookmarkStart w:id="74" w:name="_Toc16938544"/>
      <w:bookmarkStart w:id="75" w:name="_Toc513029228"/>
      <w:bookmarkStart w:id="76" w:name="_Toc20823300"/>
      <w:r>
        <w:rPr>
          <w:rFonts w:ascii="仿宋" w:hAnsi="仿宋" w:eastAsia="仿宋"/>
          <w:color w:val="auto"/>
          <w:sz w:val="24"/>
          <w:szCs w:val="24"/>
          <w:highlight w:val="none"/>
        </w:rPr>
        <w:t>4.响应文件的撤回和修改</w:t>
      </w:r>
      <w:bookmarkEnd w:id="74"/>
      <w:bookmarkEnd w:id="75"/>
      <w:bookmarkEnd w:id="76"/>
    </w:p>
    <w:p w14:paraId="7F0E4FD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14:paraId="06A3EF8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14:paraId="378FBC7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14:paraId="700DE8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w:t>
      </w:r>
    </w:p>
    <w:p w14:paraId="26C456C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14:paraId="0D42FB5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14:paraId="1702310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14:paraId="1484BB3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采购文件</w:t>
      </w:r>
      <w:r>
        <w:rPr>
          <w:rFonts w:ascii="仿宋" w:hAnsi="仿宋" w:eastAsia="仿宋" w:cs="仿宋"/>
          <w:color w:val="auto"/>
          <w:sz w:val="24"/>
          <w:szCs w:val="24"/>
          <w:highlight w:val="none"/>
        </w:rPr>
        <w:t>中规定的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响应有效期满之间的这段时间内，供应商不得撤回其响应文件。</w:t>
      </w:r>
    </w:p>
    <w:p w14:paraId="1515F86D">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响应报价</w:t>
      </w:r>
    </w:p>
    <w:p w14:paraId="4071432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rPr>
        <w:t>本项目只允许一个报价，不接受任何有选择的报价。</w:t>
      </w:r>
    </w:p>
    <w:p w14:paraId="0F60CC3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rPr>
        <w:t>报价均以人民币为报价的货币单位。</w:t>
      </w:r>
    </w:p>
    <w:p w14:paraId="1D1CA8C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rPr>
        <w:t>报价表必须加盖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响应供应商公章且必须经法定代表人或其委托授权人签署。</w:t>
      </w:r>
    </w:p>
    <w:p w14:paraId="6E853E2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5.4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响应文件报价出现前后不一致的，按照下列规定修正：</w:t>
      </w:r>
    </w:p>
    <w:p w14:paraId="256F34F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响应文件中报价表内容与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响应文件中明细内容不一致的，以报价表为准；</w:t>
      </w:r>
    </w:p>
    <w:p w14:paraId="22F66AD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大写金额和小写金额不一致的，以大写金额为准；</w:t>
      </w:r>
    </w:p>
    <w:p w14:paraId="03511E1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单价金额小数点或者百分比有明显错位的，以</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响应报价总表中的总价为准，并修改单价；</w:t>
      </w:r>
    </w:p>
    <w:p w14:paraId="48D7697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.4.4 </w:t>
      </w:r>
      <w:r>
        <w:rPr>
          <w:rFonts w:hint="eastAsia" w:ascii="仿宋" w:hAnsi="仿宋" w:eastAsia="仿宋" w:cs="仿宋"/>
          <w:color w:val="auto"/>
          <w:sz w:val="24"/>
          <w:szCs w:val="24"/>
          <w:highlight w:val="none"/>
        </w:rPr>
        <w:t>总价金额与按单价汇总金额不一致的，以单价金额计算结果为准。</w:t>
      </w:r>
    </w:p>
    <w:p w14:paraId="5E5F8F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.4.5 </w:t>
      </w:r>
      <w:r>
        <w:rPr>
          <w:rFonts w:hint="eastAsia" w:ascii="仿宋" w:hAnsi="仿宋" w:eastAsia="仿宋" w:cs="仿宋"/>
          <w:color w:val="auto"/>
          <w:sz w:val="24"/>
          <w:szCs w:val="24"/>
          <w:highlight w:val="none"/>
        </w:rPr>
        <w:t>同时出现两种以上不一致的，按照前款规定的顺序修正。修正后的报价经</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响应供应商确认后产生约束力，</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响应供应商不确认的，其</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响应无效。</w:t>
      </w:r>
    </w:p>
    <w:p w14:paraId="641E7E8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5.5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响应报价总价应包括本项目的全部费用(含一切必须的辅助材料费用)及相关服务费等。</w:t>
      </w:r>
    </w:p>
    <w:p w14:paraId="56173E2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5.6 </w:t>
      </w:r>
      <w:r>
        <w:rPr>
          <w:rFonts w:hint="eastAsia" w:ascii="仿宋" w:hAnsi="仿宋" w:eastAsia="仿宋" w:cs="仿宋"/>
          <w:b/>
          <w:bCs/>
          <w:color w:val="auto"/>
          <w:sz w:val="24"/>
          <w:szCs w:val="24"/>
          <w:highlight w:val="none"/>
        </w:rPr>
        <w:t>本次</w:t>
      </w:r>
      <w:r>
        <w:rPr>
          <w:rFonts w:hint="eastAsia" w:ascii="仿宋" w:hAnsi="仿宋" w:eastAsia="仿宋" w:cs="仿宋"/>
          <w:b/>
          <w:bCs/>
          <w:color w:val="auto"/>
          <w:sz w:val="24"/>
          <w:szCs w:val="24"/>
          <w:highlight w:val="none"/>
          <w:lang w:eastAsia="zh-CN"/>
        </w:rPr>
        <w:t>招标</w:t>
      </w:r>
      <w:r>
        <w:rPr>
          <w:rFonts w:hint="eastAsia" w:ascii="仿宋" w:hAnsi="仿宋" w:eastAsia="仿宋" w:cs="仿宋"/>
          <w:b/>
          <w:bCs/>
          <w:color w:val="auto"/>
          <w:sz w:val="24"/>
          <w:szCs w:val="24"/>
          <w:highlight w:val="none"/>
        </w:rPr>
        <w:t>采购活动项目的响应报价为一次报定价。</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成交后，报价即为成交价，除非因特殊原因并经买卖双方协商同意，成交供应商不得再要求追加任何费用。同时，除非合同条款中另有规定，否则成交供应商的成交价在合同实施期间不因市场变化因素而变动。</w:t>
      </w:r>
    </w:p>
    <w:p w14:paraId="5E00EC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5.7 </w:t>
      </w:r>
      <w:r>
        <w:rPr>
          <w:rFonts w:hint="eastAsia" w:ascii="仿宋" w:hAnsi="仿宋" w:eastAsia="仿宋" w:cs="仿宋"/>
          <w:color w:val="auto"/>
          <w:sz w:val="24"/>
          <w:szCs w:val="24"/>
          <w:highlight w:val="none"/>
        </w:rPr>
        <w:t>如因采购人实际需求，货物或服务数量发生变化，成交人须无条件满足采购人需求，确保货物或服务质量；结算时按实际供货物或服务量进行结算，综合单价不变。</w:t>
      </w:r>
    </w:p>
    <w:p w14:paraId="680FC060">
      <w:pPr>
        <w:pStyle w:val="3"/>
        <w:spacing w:before="0" w:after="0" w:line="360" w:lineRule="auto"/>
        <w:rPr>
          <w:rFonts w:ascii="仿宋" w:hAnsi="仿宋" w:eastAsia="仿宋"/>
          <w:color w:val="auto"/>
          <w:sz w:val="24"/>
          <w:szCs w:val="24"/>
          <w:highlight w:val="none"/>
        </w:rPr>
      </w:pPr>
      <w:bookmarkStart w:id="77" w:name="_Toc16938545"/>
      <w:bookmarkStart w:id="78" w:name="_Toc513029229"/>
      <w:bookmarkStart w:id="79" w:name="_Toc120614218"/>
      <w:bookmarkStart w:id="80" w:name="_Toc20823301"/>
      <w:r>
        <w:rPr>
          <w:rFonts w:ascii="仿宋" w:hAnsi="仿宋" w:eastAsia="仿宋"/>
          <w:color w:val="auto"/>
          <w:sz w:val="24"/>
          <w:szCs w:val="24"/>
          <w:highlight w:val="none"/>
        </w:rPr>
        <w:t>（五）</w:t>
      </w:r>
      <w:bookmarkEnd w:id="77"/>
      <w:bookmarkEnd w:id="78"/>
      <w:bookmarkEnd w:id="79"/>
      <w:bookmarkEnd w:id="80"/>
      <w:bookmarkStart w:id="81" w:name="_Toc20823302"/>
      <w:bookmarkStart w:id="82" w:name="_Toc513029230"/>
      <w:bookmarkStart w:id="83" w:name="_Toc16938546"/>
      <w:r>
        <w:rPr>
          <w:rFonts w:hint="eastAsia" w:ascii="仿宋" w:hAnsi="仿宋" w:eastAsia="仿宋"/>
          <w:color w:val="auto"/>
          <w:sz w:val="24"/>
          <w:szCs w:val="24"/>
          <w:highlight w:val="none"/>
        </w:rPr>
        <w:t>开标</w:t>
      </w:r>
      <w:r>
        <w:rPr>
          <w:rFonts w:ascii="仿宋" w:hAnsi="仿宋" w:eastAsia="仿宋"/>
          <w:color w:val="auto"/>
          <w:sz w:val="24"/>
          <w:szCs w:val="24"/>
          <w:highlight w:val="none"/>
        </w:rPr>
        <w:t>与评审</w:t>
      </w:r>
    </w:p>
    <w:p w14:paraId="14360C8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开标</w:t>
      </w:r>
      <w:r>
        <w:rPr>
          <w:rFonts w:ascii="仿宋" w:hAnsi="仿宋" w:eastAsia="仿宋"/>
          <w:color w:val="auto"/>
          <w:sz w:val="24"/>
          <w:szCs w:val="24"/>
          <w:highlight w:val="none"/>
        </w:rPr>
        <w:t>仪式</w:t>
      </w:r>
    </w:p>
    <w:p w14:paraId="681BF44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公告中规定的时间和地点组织</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w:t>
      </w:r>
    </w:p>
    <w:p w14:paraId="66CC5A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组织，</w:t>
      </w:r>
      <w:r>
        <w:rPr>
          <w:rFonts w:hint="eastAsia" w:ascii="仿宋" w:hAnsi="仿宋" w:eastAsia="仿宋" w:cs="仿宋"/>
          <w:color w:val="auto"/>
          <w:sz w:val="24"/>
          <w:szCs w:val="24"/>
          <w:highlight w:val="none"/>
        </w:rPr>
        <w:t>开标结束后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14:paraId="09DA7AE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评标</w:t>
      </w:r>
      <w:r>
        <w:rPr>
          <w:rFonts w:ascii="仿宋" w:hAnsi="仿宋" w:eastAsia="仿宋"/>
          <w:color w:val="auto"/>
          <w:sz w:val="24"/>
          <w:szCs w:val="24"/>
          <w:highlight w:val="none"/>
        </w:rPr>
        <w:t>小组</w:t>
      </w:r>
    </w:p>
    <w:p w14:paraId="64322A7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将立即组织</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小组进行评审。</w:t>
      </w:r>
    </w:p>
    <w:p w14:paraId="0CF578F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评标小组由采购人代表和评审专家共3人以上单数组成，其中评审专家人数不得少于评标小组成员总数的2/3。采购人不得以评审专家身份参加本部门或本单位采购项目的评审。</w:t>
      </w:r>
    </w:p>
    <w:p w14:paraId="48ADE28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评标小组独立工作，负责评审所有响应文件并确定成交</w:t>
      </w:r>
      <w:r>
        <w:rPr>
          <w:rFonts w:hint="eastAsia" w:ascii="仿宋" w:hAnsi="仿宋" w:eastAsia="仿宋" w:cs="仿宋"/>
          <w:color w:val="auto"/>
          <w:sz w:val="24"/>
          <w:szCs w:val="24"/>
          <w:highlight w:val="none"/>
          <w:lang w:eastAsia="zh-CN"/>
        </w:rPr>
        <w:t>候选人</w:t>
      </w:r>
      <w:r>
        <w:rPr>
          <w:rFonts w:ascii="仿宋" w:hAnsi="仿宋" w:eastAsia="仿宋" w:cs="仿宋"/>
          <w:color w:val="auto"/>
          <w:sz w:val="24"/>
          <w:szCs w:val="24"/>
          <w:highlight w:val="none"/>
        </w:rPr>
        <w:t>。</w:t>
      </w:r>
    </w:p>
    <w:p w14:paraId="1287D411">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3.评审过程的保密与公正</w:t>
      </w:r>
    </w:p>
    <w:p w14:paraId="1277CEF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工作人员、相关监督人员等与评审工作有关的人员，对评审情况以及在评审过程中获悉的国家秘密、商业秘密负有保密责任。</w:t>
      </w:r>
    </w:p>
    <w:p w14:paraId="78708B0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在评审过程中，供应商不得以任何行为影响评审过程，否则其响应文件将被作为无效响应文件。</w:t>
      </w:r>
    </w:p>
    <w:p w14:paraId="5152283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评标小组成员应当按照客观、公正、审慎的原则，根据采购文件规定的评审程序、评审方法和评审标准进行独立评审。未实质性响应采购文件的响应文件按无效响应处理，评标小组应当告知提交响应文件的供应商。</w:t>
      </w:r>
    </w:p>
    <w:p w14:paraId="0B54C9B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均不得向供应商或与评标无关的其他人员透露。</w:t>
      </w:r>
    </w:p>
    <w:p w14:paraId="667DE69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3.5 在评审期间，</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将设专门人员与供应商联系。</w:t>
      </w:r>
    </w:p>
    <w:p w14:paraId="22FB2CB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3.6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和评审小组不向未成交的供应商解释未成交原因，也不公布评审过程中的相关细节。</w:t>
      </w:r>
    </w:p>
    <w:p w14:paraId="6AD4B67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14:paraId="4CFA00A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评审期间，为有助于对响应文件的审查、评价和比较，评标小组有权以电子函件形式要求响应人对其响应文件进行澄清，但并非对每个供应商都作澄清要求。</w:t>
      </w:r>
    </w:p>
    <w:p w14:paraId="4B12285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接到评标小组澄清要求的供应商应派人按评标小组规定的时间和格式做出澄清，澄清的内容作为响应文件的补充部分，但实质性的内容不得做任何更改。</w:t>
      </w:r>
    </w:p>
    <w:p w14:paraId="5A8E44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接到评标小组澄清要求的供应商如未按规定做出澄清，其风险由供应商自行承担。</w:t>
      </w:r>
    </w:p>
    <w:p w14:paraId="0F02FCF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5.对响应文件的初审</w:t>
      </w:r>
    </w:p>
    <w:p w14:paraId="17A859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14:paraId="4E61FC2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资格性检查：依据法律法规和采购文件的规定，由采购人对响应文件中的资格审查证明材料进行审查，资格审查的结论，采购人以书面形式向评标小组进行反馈。</w:t>
      </w:r>
    </w:p>
    <w:p w14:paraId="724858C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符合性审查：依据采购文件的规定，由评标小组从响应文件的有效性、完整性和对采购文件的响应程度进行审查，以确定是否对采购文件的实质性要求作出响应。</w:t>
      </w:r>
    </w:p>
    <w:p w14:paraId="7884B63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将告知未通过资格审查或符合性审查的原因，评审结束后，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将不再告知未通过资格审查或符合性审查的原因。</w:t>
      </w:r>
    </w:p>
    <w:p w14:paraId="5B49B2D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5.2 在正式</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之前，评标小组将首先审查每份响应文件是否实质性响应了采购文件的要求。实质性响应的响应文件应该是与采购文件要求的全部条款、条件和规格相符，没有重大负偏离或保留。</w:t>
      </w:r>
    </w:p>
    <w:p w14:paraId="502D404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重大偏离由评标小组按照少数服从多数的原则认定。评标小组决定响应文件的响应性只根据响应文件本身的内容，而不寻求外部的证据。</w:t>
      </w:r>
    </w:p>
    <w:p w14:paraId="4D6148A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如果响应文件实质上没有响应采购文件的要求，评标小组将予以拒绝，供应商不得通过修改或撤销不合要求的偏离或保留而使其响应文件成为实质性响应的文件。</w:t>
      </w:r>
    </w:p>
    <w:p w14:paraId="2F40DE2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5.4 评标小组将允许修正响应文件中不构成重大偏离的、微小的、非正规的、不一致的或不规则的地方，但这些修改不能影响任何供应商相应的名次排列。</w:t>
      </w:r>
    </w:p>
    <w:p w14:paraId="012B25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5.5 供应商在评审全过程中应保持通讯畅通，并安排专人与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及评标小组联系。</w:t>
      </w:r>
    </w:p>
    <w:p w14:paraId="1FA7873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6.被认定为未实质性响应采购文件的响应文件的情形。</w:t>
      </w:r>
    </w:p>
    <w:p w14:paraId="2F2D595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14:paraId="1D527C1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14:paraId="054459D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14:paraId="084D8CA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14:paraId="1C31C48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6.1.4 不具备采购文件中规定的资格要求的。</w:t>
      </w:r>
    </w:p>
    <w:p w14:paraId="3F514AB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14:paraId="670C2E1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14:paraId="4650D92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不符合法律、法规和采购文件中规定的其他实质性要求的。</w:t>
      </w:r>
    </w:p>
    <w:p w14:paraId="6259724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40FFA2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14:paraId="3E49952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6.1.10 评标小组认为供应商的报价明显</w:t>
      </w:r>
      <w:r>
        <w:rPr>
          <w:rFonts w:hint="eastAsia" w:ascii="仿宋" w:hAnsi="仿宋" w:eastAsia="仿宋" w:cs="仿宋"/>
          <w:color w:val="auto"/>
          <w:sz w:val="24"/>
          <w:szCs w:val="24"/>
          <w:highlight w:val="none"/>
          <w:lang w:val="en-US" w:eastAsia="zh-CN"/>
        </w:rPr>
        <w:t>偏离</w:t>
      </w:r>
      <w:r>
        <w:rPr>
          <w:rFonts w:ascii="仿宋" w:hAnsi="仿宋" w:eastAsia="仿宋" w:cs="仿宋"/>
          <w:color w:val="auto"/>
          <w:sz w:val="24"/>
          <w:szCs w:val="24"/>
          <w:highlight w:val="none"/>
        </w:rPr>
        <w:t>其他通过符合性审查供应商的报价，有可能影响产品质量或者不能诚信履约的，评标小组应当将其作为无效响应处理。</w:t>
      </w:r>
    </w:p>
    <w:p w14:paraId="63F050A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6.1.11 响应文件未按照采购文件要求加盖签章。</w:t>
      </w:r>
    </w:p>
    <w:p w14:paraId="24702D8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6.1.12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14:paraId="5AC56D1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6.1.13 其他法律、法规及本采购文件规定的属无效响应的情形。</w:t>
      </w:r>
    </w:p>
    <w:p w14:paraId="095F083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失败。</w:t>
      </w:r>
    </w:p>
    <w:p w14:paraId="295A2F3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符合条件的供应商或者对采购文件作实质响应的供应商不足3家的（市场竞争不充分的科研项目，以及需要扶持的科技成果转化项目可以是2家）；</w:t>
      </w:r>
    </w:p>
    <w:p w14:paraId="4641CDC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14:paraId="2991929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14:paraId="4063F43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6.2.4 评标小组认定采购文件存在歧义、重大缺陷导致评审工作无法进行。</w:t>
      </w:r>
    </w:p>
    <w:p w14:paraId="33D40F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的供应商不足三家的处理：</w:t>
      </w:r>
    </w:p>
    <w:p w14:paraId="010B94C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的供应商或者在评审期间对采购文件做出实质响应的供应商不足三家情况，按政府采购相关规定执行。</w:t>
      </w:r>
    </w:p>
    <w:bookmarkEnd w:id="81"/>
    <w:bookmarkEnd w:id="82"/>
    <w:bookmarkEnd w:id="83"/>
    <w:p w14:paraId="212CD824">
      <w:pPr>
        <w:pStyle w:val="3"/>
        <w:spacing w:before="0" w:after="0" w:line="360" w:lineRule="auto"/>
        <w:rPr>
          <w:rFonts w:ascii="仿宋" w:hAnsi="仿宋" w:eastAsia="仿宋"/>
          <w:color w:val="auto"/>
          <w:sz w:val="24"/>
          <w:szCs w:val="24"/>
          <w:highlight w:val="none"/>
        </w:rPr>
      </w:pPr>
      <w:bookmarkStart w:id="84" w:name="_Toc120614219"/>
      <w:r>
        <w:rPr>
          <w:rFonts w:ascii="仿宋" w:hAnsi="仿宋" w:eastAsia="仿宋"/>
          <w:color w:val="auto"/>
          <w:sz w:val="24"/>
          <w:szCs w:val="24"/>
          <w:highlight w:val="none"/>
        </w:rPr>
        <w:t>（六）</w:t>
      </w:r>
      <w:bookmarkEnd w:id="84"/>
      <w:r>
        <w:rPr>
          <w:rFonts w:ascii="仿宋" w:hAnsi="仿宋" w:eastAsia="仿宋"/>
          <w:color w:val="auto"/>
          <w:sz w:val="24"/>
          <w:szCs w:val="24"/>
          <w:highlight w:val="none"/>
        </w:rPr>
        <w:t>成交</w:t>
      </w:r>
    </w:p>
    <w:p w14:paraId="7D1A15A2">
      <w:pPr>
        <w:pStyle w:val="4"/>
        <w:spacing w:before="0" w:after="0" w:line="360" w:lineRule="auto"/>
        <w:rPr>
          <w:rFonts w:ascii="仿宋" w:hAnsi="仿宋" w:eastAsia="仿宋"/>
          <w:color w:val="auto"/>
          <w:sz w:val="24"/>
          <w:szCs w:val="24"/>
          <w:highlight w:val="none"/>
        </w:rPr>
      </w:pPr>
      <w:bookmarkStart w:id="85" w:name="_Toc16938554"/>
      <w:bookmarkStart w:id="86" w:name="_Toc20823310"/>
      <w:r>
        <w:rPr>
          <w:rFonts w:ascii="仿宋" w:hAnsi="仿宋" w:eastAsia="仿宋"/>
          <w:color w:val="auto"/>
          <w:sz w:val="24"/>
          <w:szCs w:val="24"/>
          <w:highlight w:val="none"/>
        </w:rPr>
        <w:t>1.确定</w:t>
      </w:r>
      <w:bookmarkEnd w:id="85"/>
      <w:bookmarkEnd w:id="86"/>
      <w:r>
        <w:rPr>
          <w:rFonts w:ascii="仿宋" w:hAnsi="仿宋" w:eastAsia="仿宋"/>
          <w:color w:val="auto"/>
          <w:sz w:val="24"/>
          <w:szCs w:val="24"/>
          <w:highlight w:val="none"/>
        </w:rPr>
        <w:t>成交单位</w:t>
      </w:r>
    </w:p>
    <w:p w14:paraId="681D7AB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成交候选供应商的选取原则和数量见采购文件第四部分规定。</w:t>
      </w:r>
    </w:p>
    <w:p w14:paraId="2B5E7A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采购人授权评标小组在成交候选供应商中直接确定成交供应商。</w:t>
      </w:r>
    </w:p>
    <w:p w14:paraId="3BADCD2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14:paraId="2CC308D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14:paraId="03F0AA9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14:paraId="15D2B2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1.4.2 向采购人、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行贿或者评审专家提供其他不正当利益的。</w:t>
      </w:r>
    </w:p>
    <w:p w14:paraId="12D891D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14:paraId="01A19EC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属于本文件规定的无效条件，但在评审过程中又未被评标小组发现的。</w:t>
      </w:r>
    </w:p>
    <w:p w14:paraId="3AB9F01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14:paraId="088EA08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14:paraId="5EA600F0">
      <w:pPr>
        <w:widowControl/>
        <w:shd w:val="clear" w:color="auto" w:fill="FFFFFF"/>
        <w:spacing w:line="360" w:lineRule="auto"/>
        <w:ind w:firstLine="480" w:firstLineChars="200"/>
        <w:jc w:val="left"/>
        <w:rPr>
          <w:rFonts w:ascii="仿宋" w:hAnsi="仿宋" w:eastAsia="仿宋" w:cs="仿宋"/>
          <w:color w:val="auto"/>
          <w:sz w:val="24"/>
          <w:szCs w:val="24"/>
          <w:highlight w:val="none"/>
        </w:rPr>
      </w:pPr>
      <w:bookmarkStart w:id="87" w:name="_Toc200451960"/>
      <w:r>
        <w:rPr>
          <w:rFonts w:ascii="仿宋" w:hAnsi="仿宋" w:eastAsia="仿宋" w:cs="仿宋"/>
          <w:color w:val="auto"/>
          <w:sz w:val="24"/>
          <w:szCs w:val="24"/>
          <w:highlight w:val="none"/>
        </w:rPr>
        <w:t>1.5 有下列情形之一的，视为供应商串通参与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，响应无效：</w:t>
      </w:r>
    </w:p>
    <w:p w14:paraId="077F9E2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14:paraId="6340D0A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事宜；</w:t>
      </w:r>
    </w:p>
    <w:p w14:paraId="058E3CB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14:paraId="229669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14:paraId="08F2756D">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2.质疑处理</w:t>
      </w:r>
      <w:bookmarkEnd w:id="87"/>
    </w:p>
    <w:p w14:paraId="3F22670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提出质疑的供应商应当是参与所质疑项目采购活动的供应商。潜在供应商依法获取其可质疑的采购文件的，可以对采购文件提出质疑。</w:t>
      </w:r>
    </w:p>
    <w:p w14:paraId="698A754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供应商认为采购文件、采购过程和采购结果使自己的权益受到损害的，可以在知道或应知其权益受到损害之日起七个工作日内，以书面形式向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或采购人提出质疑。上述应知其权益受到损害之日，是指：</w:t>
      </w:r>
    </w:p>
    <w:p w14:paraId="41CED0B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对可以质疑的采购文件提出质疑的，为收到采购文件之日或者采购文件公告期限届满之日；</w:t>
      </w:r>
    </w:p>
    <w:p w14:paraId="138FF4E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14:paraId="0340547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14:paraId="682F82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14:paraId="174F833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质疑函必须按照本采购文件中《质疑函范本》要求的格式和内容进行填写。供应商如组成联合体参加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，则《质疑函范本》中要求签字、盖章、加盖公章之处，联合体各方均须按要求签字、盖章、加盖公章。</w:t>
      </w:r>
    </w:p>
    <w:p w14:paraId="7B775A7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2.4 对采购方式、采购文件中项目需求、供应商资格条件、评审方法和评审标准、资格审查结果等应当由采购人答复的质疑，请向采购人提出，由采购人负责答复。供应商对其他事项的质疑，请向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负责答复。</w:t>
      </w:r>
    </w:p>
    <w:p w14:paraId="0B0E49B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采购人质疑接收人及联系方式，见采购文件第一部分。</w:t>
      </w:r>
    </w:p>
    <w:p w14:paraId="33D169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14:paraId="45728EF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2.5.1 内容不符合《政府采购质疑和投诉办法》第十二条规定的质疑。</w:t>
      </w:r>
    </w:p>
    <w:p w14:paraId="5AC821C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2.5.2 超出政府采购法定期限的质疑。</w:t>
      </w:r>
    </w:p>
    <w:p w14:paraId="7F1751D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2.5.3 未参加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活动的供应商或在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活动中自身权益未受到损害的供应商所提出的质疑。</w:t>
      </w:r>
    </w:p>
    <w:p w14:paraId="62909EB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，联合体中任何一方或多方未按要求签字、盖章、加盖公章的质疑。</w:t>
      </w:r>
    </w:p>
    <w:p w14:paraId="1D6FEE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有权依据政府采购的有关规定，报请政府采购监管部门对该供应商进行相应的行政处罚和记录该供应商的失信信息。</w:t>
      </w:r>
    </w:p>
    <w:p w14:paraId="5F350AE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3．成交通知书</w:t>
      </w:r>
    </w:p>
    <w:p w14:paraId="3EE2A75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将向成交供应商发出成交通知书。</w:t>
      </w:r>
    </w:p>
    <w:p w14:paraId="1EDA61C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项目的，应当依法承担法律责任。</w:t>
      </w:r>
    </w:p>
    <w:p w14:paraId="5B575C2A">
      <w:pPr>
        <w:pStyle w:val="3"/>
        <w:spacing w:before="0" w:after="0" w:line="360" w:lineRule="auto"/>
        <w:rPr>
          <w:rFonts w:ascii="仿宋" w:hAnsi="仿宋" w:eastAsia="仿宋"/>
          <w:color w:val="auto"/>
          <w:sz w:val="24"/>
          <w:szCs w:val="24"/>
          <w:highlight w:val="none"/>
        </w:rPr>
      </w:pPr>
      <w:bookmarkStart w:id="88" w:name="_Toc120614220"/>
      <w:bookmarkStart w:id="89" w:name="_Toc16938552"/>
      <w:bookmarkStart w:id="90" w:name="_Toc20823308"/>
      <w:bookmarkStart w:id="91" w:name="_Toc513029236"/>
      <w:r>
        <w:rPr>
          <w:rFonts w:ascii="仿宋" w:hAnsi="仿宋" w:eastAsia="仿宋"/>
          <w:color w:val="auto"/>
          <w:sz w:val="24"/>
          <w:szCs w:val="24"/>
          <w:highlight w:val="none"/>
        </w:rPr>
        <w:t>（七）授予合同</w:t>
      </w:r>
      <w:bookmarkEnd w:id="88"/>
    </w:p>
    <w:bookmarkEnd w:id="89"/>
    <w:bookmarkEnd w:id="90"/>
    <w:bookmarkEnd w:id="91"/>
    <w:p w14:paraId="56132D99">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1.签订合同</w:t>
      </w:r>
    </w:p>
    <w:p w14:paraId="7005BD2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成交供应商应当在成交通知书发出之日起三十日内，按照采购文件确定的事项与采购人签订政府采购合同。</w:t>
      </w:r>
    </w:p>
    <w:p w14:paraId="091945C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采购文件、成交供应商的响应文件及</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过程中有关澄清、承诺文件均应作为合同附件。</w:t>
      </w:r>
    </w:p>
    <w:p w14:paraId="37B2A6E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4485ACD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履约保证金</w:t>
      </w:r>
    </w:p>
    <w:p w14:paraId="678F87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免收。</w:t>
      </w:r>
    </w:p>
    <w:p w14:paraId="180654F8">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14:paraId="60E19DD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23FD28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668C0F36">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2BE7A917">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14:paraId="7E10FC09">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D716ADE">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5DF4CFB">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一、有关要求说明</w:t>
      </w:r>
    </w:p>
    <w:p w14:paraId="4B5C8040">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1.主要技术参数：为鼓励不同品牌的充分竞争，如某主要技术参数属于个别品牌专有，则该主要技术参数不具有限制性，供应商可对该参数进行适当调整，并说明调整的理由。</w:t>
      </w:r>
    </w:p>
    <w:p w14:paraId="43B040C9">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1A1AC0D3">
      <w:pPr>
        <w:spacing w:line="360" w:lineRule="auto"/>
        <w:ind w:firstLine="480" w:firstLineChars="20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06C9F3AE">
      <w:pPr>
        <w:widowControl/>
        <w:spacing w:line="360" w:lineRule="auto"/>
        <w:ind w:firstLine="482" w:firstLineChars="200"/>
        <w:jc w:val="left"/>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二、项目清单</w:t>
      </w:r>
    </w:p>
    <w:tbl>
      <w:tblPr>
        <w:tblStyle w:val="17"/>
        <w:tblW w:w="9105" w:type="dxa"/>
        <w:tblInd w:w="-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2985"/>
        <w:gridCol w:w="2175"/>
        <w:gridCol w:w="2355"/>
        <w:gridCol w:w="922"/>
      </w:tblGrid>
      <w:tr w14:paraId="2C13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4C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5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3D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规格 </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A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C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148A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5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D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甲萘威</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2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农业部环境质量监督检验测试中心（天津）、sigma、Dr.E</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1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AA5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8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伏杀硫磷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87A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1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E4A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A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敌百虫</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F1B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C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1FEC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6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B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7B7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E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AB6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1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3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二嗪磷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E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F32E">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E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DCC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6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3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久效磷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F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5C7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6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053E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E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5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氟胺氰菊酯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8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051E">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B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2E9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2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9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氟氰戊菊酯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4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AB51">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8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7E7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0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噻嗪酮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B58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6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5B7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8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甲基硫菌灵</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1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F8D8">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7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7F7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B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丁草胺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A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747E">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C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4B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2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6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涕灭威</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7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0E7F">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F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2EA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E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A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涕灭威砜</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A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959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2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511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D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涕灭威亚砜</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DFD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A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9E6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5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灭多威</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8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886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6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B76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4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3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克百威</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7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8A9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D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882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5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C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3-羟基克百威</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3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A271">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8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CE4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5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B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敌敌畏</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6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A13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21E0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2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D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甲拌磷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7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D78C">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5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6FA2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0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3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乐果</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F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48A6">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A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2B8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4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5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C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702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3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5A03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9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5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甲基对硫磷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8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6D6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F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1126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7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氧乐果</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0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815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16A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3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2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马拉硫磷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C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9B721">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8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73F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4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5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7BC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3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A9A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E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E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亚胺硫磷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F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9544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3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354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4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B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甲胺磷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B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45D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6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F82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4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乙酰甲胺磷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B8F6">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0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703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4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C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毒死蜱</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8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069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9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905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5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5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991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C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C92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2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杀螟硫磷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7AE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D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13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8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C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水胺硫磷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8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EEEC">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E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0A1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A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硫环磷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3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E10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2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6E28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6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6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三唑磷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3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4CB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7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3D3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1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E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内吸磷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362D8">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3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BD6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4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α-666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A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E2BB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2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041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5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F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β-666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6BC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9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58F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7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0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γ-666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6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01C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2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77A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9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A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δ-666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6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BEF9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E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CD9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异菌脲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4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EACE">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C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713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C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7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五氯硝基苯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9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2F0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B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A89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8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9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乙烯菌核利</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2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5A4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2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7E7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2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A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三氯杀螨醇</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800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B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C9C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3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9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百菌清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7A8C">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D39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2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三唑酮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2F68E">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B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6D51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5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联苯菊酯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9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673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8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ADF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E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氯氟氰菊酯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1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758D">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0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476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F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9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甲氰菊酯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A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44876">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5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14:paraId="1D0F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8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顺式氯菊酯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E1B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6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0A9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7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9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反式氯菊酯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8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A9998">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2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27E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7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氰戊菊酯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99E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C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4AF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9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C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氯氰菊酯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6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AF32D">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C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059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A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2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溴氰菊酯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3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36A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4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D90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2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1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氟氯氰菊酯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4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94501">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0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46F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B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甲霜灵</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2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4A2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8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804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5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腐霉利</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265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6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C17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0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0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除虫脲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E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2ED1">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7C0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8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2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三环唑</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2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E25D">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2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262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3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丙溴磷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F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3A7BF">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C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D0F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7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F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甲基异柳磷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1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2C0CE">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0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DD6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9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2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多效唑</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F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504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0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F52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2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戊唑醇</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0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1B8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A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6F5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4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5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咪鲜胺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EF7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6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767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2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氟虫腈</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1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DF5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A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A6B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1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灭幼脲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2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288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8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550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7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啶虫脒</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2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26DD">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3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57B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1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7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哒螨灵</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6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D820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B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7D8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D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3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苯醚甲环唑</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0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9A10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2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A9E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1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C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嘧霉胺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4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90A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B87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3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8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吡虫啉</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4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41B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8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47A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4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6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阿维菌素</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4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A499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2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3E3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D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B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多菌灵</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0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034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0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CC2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7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甲氨基阿维菌素苯甲酸盐</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F4AD">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0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672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7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1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嘧菌酯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9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FF8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5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E76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4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D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虫螨腈</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1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3FAF">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6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6FE468A">
        <w:tblPrEx>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4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B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氟啶脲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5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ED4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760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F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F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噻虫嗪</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A06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98F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B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0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烯酰吗啉</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64EA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1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2A1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3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9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二甲戊乐灵</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4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ECA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4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1CF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4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4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甲拌磷砜</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5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2CE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D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987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1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甲拌磷亚砜</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3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031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0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31F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A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D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氟虫腈砜</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9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5B8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C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013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4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9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氟虫腈硫醚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5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01AC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D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DC6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D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0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氟甲腈</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D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361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D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AC3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7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氯吡脲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5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920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8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94C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E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虫酰肼</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B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BCF2">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1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E69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B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2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醚菊酯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C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D55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6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6A6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D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6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氯虫苯甲酰胺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3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256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4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D6C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F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1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吡唑醚菌酯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1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BEF6">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C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8AA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D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5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霜霉威</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B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CB3C">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2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8DF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C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C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灭蝇胺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E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D9EF">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B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1D7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0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腈菌唑</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C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71EA">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C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BA7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1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噻虫胺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C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F0786">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E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BD2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D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1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氯唑磷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0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16CD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0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270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E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7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丙环唑</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9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C985D">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5DC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2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0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丁硫克百威</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4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C626">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5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DF2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F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5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乙基多杀菌素</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00D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E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8C8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F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3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多杀霉素</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D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C5F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2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21F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4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1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噻苯隆</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0854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0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D72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C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3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灭线磷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3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71BE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D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B00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8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9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呋虫胺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D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农业部环境保护科研监测所 （天津）、sigma、Dr.E</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C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786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8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5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虱螨脲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B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农业部环境保护科研监测所 (天津)、sigma、Dr.E</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9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A29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A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6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抑霉唑</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8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1000ug/ml</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C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农业部环境质量监督检验测试中心（天津）、sigma、Dr.E</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0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C3E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1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D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土壤阳离子交换量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F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17.9cmol(+)/kg</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25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中国计量科学研究院、国家环境保护总局标准样品研究所、水利部水环境评价研究中心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F35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2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C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土壤阳离子交换量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14.4cmol(+)/kg</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2F4F">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E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230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B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E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土壤阳离子交换量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3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15.0cmol(+)/kg</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C65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1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3BD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4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2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水中二氧化硫检测用亚硫酸钠</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C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1"/>
                <w:szCs w:val="21"/>
                <w:u w:val="none"/>
                <w:lang w:val="en-US" w:eastAsia="zh-CN" w:bidi="ar"/>
              </w:rPr>
              <w:t>支</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套</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0968A">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2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AF6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9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水中六价铬</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2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5034">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9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DF5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E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水中二氧化硫</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5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8142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B88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1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8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水中缩二脲</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8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800</w:t>
            </w:r>
            <w:r>
              <w:rPr>
                <w:rFonts w:hint="eastAsia" w:ascii="宋体" w:hAnsi="宋体" w:eastAsia="宋体" w:cs="宋体"/>
                <w:i w:val="0"/>
                <w:iCs w:val="0"/>
                <w:color w:val="000000"/>
                <w:kern w:val="0"/>
                <w:sz w:val="21"/>
                <w:szCs w:val="21"/>
                <w:u w:val="none"/>
                <w:lang w:val="en-US" w:eastAsia="zh-CN" w:bidi="ar"/>
              </w:rPr>
              <w:t>μ</w:t>
            </w:r>
            <w:r>
              <w:rPr>
                <w:rFonts w:hint="default" w:ascii="Times New Roman" w:hAnsi="Times New Roman" w:eastAsia="宋体" w:cs="Times New Roman"/>
                <w:i w:val="0"/>
                <w:iCs w:val="0"/>
                <w:color w:val="000000"/>
                <w:kern w:val="0"/>
                <w:sz w:val="21"/>
                <w:szCs w:val="21"/>
                <w:u w:val="none"/>
                <w:lang w:val="en-US" w:eastAsia="zh-CN" w:bidi="ar"/>
              </w:rPr>
              <w:t>g/m</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D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中国计量科学研究院、国家环境保护总局标准样品研究所、伟业计量</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1F7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2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E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硼砂</w:t>
            </w:r>
            <w:r>
              <w:rPr>
                <w:rFonts w:hint="default" w:ascii="Times New Roman" w:hAnsi="Times New Roman" w:eastAsia="宋体" w:cs="Times New Roman"/>
                <w:i w:val="0"/>
                <w:iCs w:val="0"/>
                <w:color w:val="000000"/>
                <w:kern w:val="0"/>
                <w:sz w:val="21"/>
                <w:szCs w:val="21"/>
                <w:u w:val="none"/>
                <w:lang w:val="en-US" w:eastAsia="zh-CN" w:bidi="ar"/>
              </w:rPr>
              <w:t>pH</w:t>
            </w:r>
            <w:r>
              <w:rPr>
                <w:rFonts w:hint="eastAsia" w:ascii="宋体" w:hAnsi="宋体" w:eastAsia="宋体" w:cs="宋体"/>
                <w:i w:val="0"/>
                <w:iCs w:val="0"/>
                <w:color w:val="000000"/>
                <w:kern w:val="0"/>
                <w:sz w:val="21"/>
                <w:szCs w:val="21"/>
                <w:u w:val="none"/>
                <w:lang w:val="en-US" w:eastAsia="zh-CN" w:bidi="ar"/>
              </w:rPr>
              <w:t>缓冲溶液</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8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,pH=9.18</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9F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中国计量科学研究院、国家环境保护总局标准样品研究所、水利部水环境评价研究中心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8B0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3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B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邻苯二甲酸氢钾</w:t>
            </w:r>
            <w:r>
              <w:rPr>
                <w:rFonts w:hint="default" w:ascii="Times New Roman" w:hAnsi="Times New Roman" w:eastAsia="宋体" w:cs="Times New Roman"/>
                <w:i w:val="0"/>
                <w:iCs w:val="0"/>
                <w:color w:val="000000"/>
                <w:kern w:val="0"/>
                <w:sz w:val="21"/>
                <w:szCs w:val="21"/>
                <w:u w:val="none"/>
                <w:lang w:val="en-US" w:eastAsia="zh-CN" w:bidi="ar"/>
              </w:rPr>
              <w:t>pH</w:t>
            </w:r>
            <w:r>
              <w:rPr>
                <w:rFonts w:hint="eastAsia" w:ascii="宋体" w:hAnsi="宋体" w:eastAsia="宋体" w:cs="宋体"/>
                <w:i w:val="0"/>
                <w:iCs w:val="0"/>
                <w:color w:val="000000"/>
                <w:kern w:val="0"/>
                <w:sz w:val="21"/>
                <w:szCs w:val="21"/>
                <w:u w:val="none"/>
                <w:lang w:val="en-US" w:eastAsia="zh-CN" w:bidi="ar"/>
              </w:rPr>
              <w:t>缓冲溶液</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0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,pH=4.00</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5DB4A">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5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699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5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4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混合磷酸盐</w:t>
            </w:r>
            <w:r>
              <w:rPr>
                <w:rFonts w:hint="default" w:ascii="Times New Roman" w:hAnsi="Times New Roman" w:eastAsia="宋体" w:cs="Times New Roman"/>
                <w:i w:val="0"/>
                <w:iCs w:val="0"/>
                <w:color w:val="000000"/>
                <w:kern w:val="0"/>
                <w:sz w:val="21"/>
                <w:szCs w:val="21"/>
                <w:u w:val="none"/>
                <w:lang w:val="en-US" w:eastAsia="zh-CN" w:bidi="ar"/>
              </w:rPr>
              <w:t>pH</w:t>
            </w:r>
            <w:r>
              <w:rPr>
                <w:rFonts w:hint="eastAsia" w:ascii="宋体" w:hAnsi="宋体" w:eastAsia="宋体" w:cs="宋体"/>
                <w:i w:val="0"/>
                <w:iCs w:val="0"/>
                <w:color w:val="000000"/>
                <w:kern w:val="0"/>
                <w:sz w:val="21"/>
                <w:szCs w:val="21"/>
                <w:u w:val="none"/>
                <w:lang w:val="en-US" w:eastAsia="zh-CN" w:bidi="ar"/>
              </w:rPr>
              <w:t>缓冲溶液</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9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,pH=6.86</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5EFBE">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D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FF0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1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E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土壤中</w:t>
            </w:r>
            <w:r>
              <w:rPr>
                <w:rFonts w:hint="default" w:ascii="Times New Roman" w:hAnsi="Times New Roman" w:eastAsia="宋体" w:cs="Times New Roman"/>
                <w:i w:val="0"/>
                <w:iCs w:val="0"/>
                <w:color w:val="000000"/>
                <w:kern w:val="0"/>
                <w:sz w:val="21"/>
                <w:szCs w:val="21"/>
                <w:u w:val="none"/>
                <w:lang w:val="en-US" w:eastAsia="zh-CN" w:bidi="ar"/>
              </w:rPr>
              <w:t>pH</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pH=6.29</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712D">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5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191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F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8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土壤中</w:t>
            </w:r>
            <w:r>
              <w:rPr>
                <w:rFonts w:hint="default" w:ascii="Times New Roman" w:hAnsi="Times New Roman" w:eastAsia="宋体" w:cs="Times New Roman"/>
                <w:i w:val="0"/>
                <w:iCs w:val="0"/>
                <w:color w:val="000000"/>
                <w:kern w:val="0"/>
                <w:sz w:val="21"/>
                <w:szCs w:val="21"/>
                <w:u w:val="none"/>
                <w:lang w:val="en-US" w:eastAsia="zh-CN" w:bidi="ar"/>
              </w:rPr>
              <w:t>pH</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6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pH=8.25</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81A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A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A4F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1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D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化学需氧量</w:t>
            </w:r>
            <w:r>
              <w:rPr>
                <w:rFonts w:hint="default" w:ascii="Times New Roman" w:hAnsi="Times New Roman" w:eastAsia="宋体" w:cs="Times New Roman"/>
                <w:i w:val="0"/>
                <w:iCs w:val="0"/>
                <w:color w:val="000000"/>
                <w:kern w:val="0"/>
                <w:sz w:val="21"/>
                <w:szCs w:val="21"/>
                <w:u w:val="none"/>
                <w:lang w:val="en-US" w:eastAsia="zh-CN" w:bidi="ar"/>
              </w:rPr>
              <w:t>/COD-Cr/</w:t>
            </w:r>
            <w:r>
              <w:rPr>
                <w:rFonts w:hint="eastAsia" w:ascii="宋体" w:hAnsi="宋体" w:eastAsia="宋体" w:cs="宋体"/>
                <w:i w:val="0"/>
                <w:iCs w:val="0"/>
                <w:color w:val="000000"/>
                <w:kern w:val="0"/>
                <w:sz w:val="21"/>
                <w:szCs w:val="21"/>
                <w:u w:val="none"/>
                <w:lang w:val="en-US" w:eastAsia="zh-CN" w:bidi="ar"/>
              </w:rPr>
              <w:t>测定仪检定用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C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B7F3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6C9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B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7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水中挥发酚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F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AB39D">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453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1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C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四氯乙烯中石油类</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红外法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1000µg/mL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22C1">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1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00B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C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D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水中总磷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5FFE7">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9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6C7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1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水中亚硝酸盐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100mg/</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C0B8">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9BF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D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5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水中硝酸盐氮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1000µg/mL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A11A">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8A5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7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2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水中氰</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介质</w:t>
            </w:r>
            <w:r>
              <w:rPr>
                <w:rFonts w:hint="default" w:ascii="Times New Roman" w:hAnsi="Times New Roman" w:eastAsia="宋体" w:cs="Times New Roman"/>
                <w:i w:val="0"/>
                <w:iCs w:val="0"/>
                <w:color w:val="000000"/>
                <w:kern w:val="0"/>
                <w:sz w:val="21"/>
                <w:szCs w:val="21"/>
                <w:u w:val="none"/>
                <w:lang w:val="en-US" w:eastAsia="zh-CN" w:bidi="ar"/>
              </w:rPr>
              <w:t>:0.1mol/L</w:t>
            </w:r>
            <w:r>
              <w:rPr>
                <w:rFonts w:hint="eastAsia" w:ascii="宋体" w:hAnsi="宋体" w:eastAsia="宋体" w:cs="宋体"/>
                <w:i w:val="0"/>
                <w:iCs w:val="0"/>
                <w:color w:val="000000"/>
                <w:kern w:val="0"/>
                <w:sz w:val="21"/>
                <w:szCs w:val="21"/>
                <w:u w:val="none"/>
                <w:lang w:val="en-US" w:eastAsia="zh-CN" w:bidi="ar"/>
              </w:rPr>
              <w:t>氢氧化钠</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B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D739">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D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A30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5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1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饼干中水分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6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DC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中国计量科学研究院、国家环境保护总局标准样品研究所、大连中食国实检测技术有限公司</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4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6D6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2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1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饼干中总灰分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4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E29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D75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9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水中氟离子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7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500mg/L</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44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中国计量科学研究院、国家环境保护总局标准样品研究所、水利部水环境评价研究中心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F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1163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7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C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水中总氮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CEE8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7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2A5E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5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8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7CE1">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F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847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B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0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水中凯氏氮溶液</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A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1000mg/L</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0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中国计量科学研究院、国家环境保护总局标准样品研究所、伟业计量</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6265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3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A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标准样品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水中氯离子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100mg/L</w:t>
            </w:r>
          </w:p>
        </w:tc>
        <w:tc>
          <w:tcPr>
            <w:tcW w:w="2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CA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中国计量科学研究院、国家环境保护总局标准样品研究所、水利部水环境评价研究中心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E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9F6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6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F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标准品</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水中全盐量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氯离子混标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0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4728">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D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C6C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2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A407">
            <w:pPr>
              <w:keepNext w:val="0"/>
              <w:keepLines w:val="0"/>
              <w:widowControl/>
              <w:suppressLineNumbers w:val="0"/>
              <w:jc w:val="center"/>
              <w:textAlignment w:val="center"/>
              <w:rPr>
                <w:rFonts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0DDC">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54DA">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C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7A01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F661">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铜</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7FE9">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925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1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D72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1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0A5A">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镉</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F5B1">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39A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B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83C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8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2B48">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铬</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2A3B">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18C0">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6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0A61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7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3CF0">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锌</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D7C9">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1D05">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1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5ED0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2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C60A">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镍</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C3A7">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D1FB">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8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3A77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8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059C">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9809">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165D3">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0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5D5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781D">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汞</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4F15">
            <w:pPr>
              <w:keepNext w:val="0"/>
              <w:keepLines w:val="0"/>
              <w:widowControl/>
              <w:suppressLineNumbers w:val="0"/>
              <w:jc w:val="center"/>
              <w:textAlignment w:val="center"/>
              <w:rPr>
                <w:rFonts w:hint="default" w:ascii="楷体_GB2312" w:hAnsi="宋体" w:eastAsia="楷体_GB2312" w:cs="楷体_GB2312"/>
                <w:i w:val="0"/>
                <w:iCs w:val="0"/>
                <w:color w:val="000000"/>
                <w:sz w:val="21"/>
                <w:szCs w:val="21"/>
                <w:u w:val="none"/>
              </w:rPr>
            </w:pPr>
            <w:r>
              <w:rPr>
                <w:rFonts w:hint="default" w:ascii="楷体_GB2312" w:hAnsi="宋体" w:eastAsia="楷体_GB2312" w:cs="楷体_GB2312"/>
                <w:i w:val="0"/>
                <w:iCs w:val="0"/>
                <w:color w:val="000000"/>
                <w:kern w:val="0"/>
                <w:sz w:val="21"/>
                <w:szCs w:val="21"/>
                <w:u w:val="none"/>
                <w:lang w:val="en-US" w:eastAsia="zh-CN" w:bidi="ar"/>
              </w:rPr>
              <w:t>1000mg/L</w:t>
            </w:r>
          </w:p>
        </w:tc>
        <w:tc>
          <w:tcPr>
            <w:tcW w:w="2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D881">
            <w:pPr>
              <w:jc w:val="center"/>
              <w:rPr>
                <w:rFonts w:hint="eastAsia" w:ascii="宋体" w:hAnsi="宋体" w:eastAsia="宋体" w:cs="宋体"/>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A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bl>
    <w:p w14:paraId="7BA0F86B">
      <w:pPr>
        <w:widowControl/>
        <w:spacing w:line="360" w:lineRule="auto"/>
        <w:jc w:val="left"/>
        <w:rPr>
          <w:rFonts w:hint="eastAsia" w:ascii="仿宋" w:hAnsi="仿宋" w:eastAsia="仿宋" w:cs="宋体"/>
          <w:b/>
          <w:bCs/>
          <w:color w:val="auto"/>
          <w:sz w:val="24"/>
          <w:szCs w:val="24"/>
          <w:highlight w:val="none"/>
        </w:rPr>
      </w:pPr>
    </w:p>
    <w:p w14:paraId="3163174E">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三、商务要求</w:t>
      </w:r>
    </w:p>
    <w:p w14:paraId="232F755E">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参数偏离表承诺函：供应商需出具参数偏离表的盖章承诺函，承诺其提交的相关材料真实有效，每项参数都可作为验收的依据，参数验收时如果不能符合标书要求，应按投标价的30%作为对采购人的赔偿，货物退回，合同作废，并承担虚假应标的相关责任；承诺其投标产品为原厂全新产品，非代工产品或翻新产品，负责保修，保证货物的使用。</w:t>
      </w:r>
    </w:p>
    <w:p w14:paraId="70CE9DC2">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.交货期要求：</w:t>
      </w: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日内供货完毕</w:t>
      </w:r>
      <w:r>
        <w:rPr>
          <w:rFonts w:hint="eastAsia" w:ascii="仿宋" w:hAnsi="仿宋" w:eastAsia="仿宋" w:cs="宋体"/>
          <w:color w:val="auto"/>
          <w:sz w:val="24"/>
          <w:szCs w:val="24"/>
          <w:highlight w:val="none"/>
        </w:rPr>
        <w:t>。</w:t>
      </w:r>
    </w:p>
    <w:p w14:paraId="2338B6DC">
      <w:pPr>
        <w:spacing w:line="360" w:lineRule="auto"/>
        <w:ind w:firstLine="480" w:firstLineChars="200"/>
        <w:rPr>
          <w:rFonts w:hint="default" w:ascii="仿宋" w:hAnsi="仿宋" w:eastAsia="仿宋" w:cs="宋体"/>
          <w:color w:val="auto"/>
          <w:sz w:val="24"/>
          <w:szCs w:val="24"/>
          <w:highlight w:val="none"/>
          <w:lang w:val="en-US" w:eastAsia="zh-CN"/>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.交货地点及验收：采购人指定地点，</w:t>
      </w:r>
      <w:bookmarkStart w:id="92" w:name="_Hlk149730648"/>
      <w:r>
        <w:rPr>
          <w:rFonts w:hint="eastAsia" w:ascii="仿宋" w:hAnsi="仿宋" w:eastAsia="仿宋" w:cs="宋体"/>
          <w:color w:val="auto"/>
          <w:sz w:val="24"/>
          <w:szCs w:val="24"/>
          <w:highlight w:val="none"/>
        </w:rPr>
        <w:t>由供应商负责办理运输和装卸等，费用由供应商负责，由采购人组织验收，检验不合格或不符合质量要求，供应商除无条件退货、返工外，还应承担采购人的一切损失。</w:t>
      </w:r>
      <w:bookmarkEnd w:id="92"/>
    </w:p>
    <w:p w14:paraId="102E4D8F">
      <w:pPr>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w:t>
      </w:r>
      <w:r>
        <w:rPr>
          <w:rFonts w:hint="eastAsia" w:ascii="仿宋" w:hAnsi="仿宋" w:eastAsia="仿宋" w:cs="仿宋"/>
          <w:bCs/>
          <w:color w:val="auto"/>
          <w:sz w:val="24"/>
          <w:szCs w:val="24"/>
          <w:highlight w:val="none"/>
        </w:rPr>
        <w:t>货物质量</w:t>
      </w:r>
      <w:r>
        <w:rPr>
          <w:rFonts w:hint="eastAsia" w:ascii="仿宋" w:hAnsi="仿宋" w:eastAsia="仿宋" w:cs="宋体"/>
          <w:color w:val="auto"/>
          <w:sz w:val="24"/>
          <w:szCs w:val="24"/>
          <w:highlight w:val="none"/>
        </w:rPr>
        <w:t>：货物质量合格，符合相关标准规定。</w:t>
      </w:r>
      <w:bookmarkStart w:id="93" w:name="_Hlk149730471"/>
      <w:r>
        <w:rPr>
          <w:rFonts w:hint="eastAsia" w:ascii="仿宋" w:hAnsi="仿宋" w:eastAsia="仿宋" w:cs="宋体"/>
          <w:color w:val="auto"/>
          <w:sz w:val="24"/>
          <w:szCs w:val="24"/>
          <w:highlight w:val="none"/>
        </w:rPr>
        <w:t>如出现质量问题，供应商应在2小时内响应，24小时内到达现场，48小时内解决出现问题，其中产生的一切费用由供应商承担，若超时未响应，则视为供应商承认质量问题并承担由此产生的一切费用。采购人不定期组织货物实验验证，如出现货物不能满足采购人实验需求的，供应商在接到反馈信息后应在承诺供货期规定的时间内无条件退换货，直至货物满足采购人实验需求为止。供应商应在货物有效期内经验证证实货物有质量缺陷时，有义务尽快通知采购人，及时更换货物并实施补偿措施，其中产生的一切费用和损失由供应商承担。</w:t>
      </w:r>
    </w:p>
    <w:bookmarkEnd w:id="93"/>
    <w:p w14:paraId="0C882A31">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.质保期：自项目验收合格之日起</w:t>
      </w:r>
      <w:r>
        <w:rPr>
          <w:rFonts w:hint="eastAsia" w:ascii="仿宋" w:hAnsi="仿宋" w:eastAsia="仿宋" w:cs="宋体"/>
          <w:color w:val="auto"/>
          <w:sz w:val="24"/>
          <w:szCs w:val="24"/>
          <w:highlight w:val="none"/>
          <w:lang w:val="en-US" w:eastAsia="zh-CN"/>
        </w:rPr>
        <w:t>一</w:t>
      </w:r>
      <w:r>
        <w:rPr>
          <w:rFonts w:hint="eastAsia" w:ascii="仿宋" w:hAnsi="仿宋" w:eastAsia="仿宋" w:cs="宋体"/>
          <w:color w:val="auto"/>
          <w:sz w:val="24"/>
          <w:szCs w:val="24"/>
          <w:highlight w:val="none"/>
        </w:rPr>
        <w:t>年。</w:t>
      </w:r>
    </w:p>
    <w:p w14:paraId="2C64440D">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.付款方式：</w:t>
      </w:r>
      <w:r>
        <w:rPr>
          <w:rFonts w:hint="eastAsia" w:ascii="仿宋" w:hAnsi="仿宋" w:eastAsia="仿宋" w:cs="宋体"/>
          <w:color w:val="auto"/>
          <w:sz w:val="24"/>
          <w:szCs w:val="24"/>
          <w:highlight w:val="none"/>
          <w:lang w:eastAsia="zh-CN"/>
        </w:rPr>
        <w:t>验收合格后一次性付款。</w:t>
      </w:r>
    </w:p>
    <w:p w14:paraId="3AFE9245">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四、其他要求</w:t>
      </w:r>
    </w:p>
    <w:p w14:paraId="3D1F8CDC">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.供应商须采取必要的安全措施保证货物的运输安全，并承担货物的运输过程中产生的风险。</w:t>
      </w:r>
      <w:r>
        <w:rPr>
          <w:rFonts w:hint="eastAsia" w:ascii="仿宋" w:hAnsi="仿宋" w:eastAsia="仿宋" w:cs="仿宋"/>
          <w:color w:val="auto"/>
          <w:sz w:val="24"/>
          <w:szCs w:val="24"/>
          <w:highlight w:val="none"/>
        </w:rPr>
        <w:t>货物外观、包装、运输应符合有关规定的标准，如因供应商包装、运输不当等原因造成的损失，由供应商承担。</w:t>
      </w:r>
    </w:p>
    <w:p w14:paraId="7F8FA21A">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响应报价应包括投标文件所确定的该项目的全部内容，包括响应及完成委托工作所需的一切费用，包含但不限于如货物采购、人工、包装、运输、装卸、税费、售后服务及相关劳务支出等工作所发生的全部费用以及供应商企业利润、税金和政策性文件规定及合同包含的所有风险、责任，即响应本采购文件规定的各项应有费用。</w:t>
      </w:r>
    </w:p>
    <w:p w14:paraId="08ADFA25">
      <w:pPr>
        <w:widowControl/>
        <w:spacing w:line="360" w:lineRule="auto"/>
        <w:ind w:firstLine="420" w:firstLineChars="200"/>
        <w:jc w:val="left"/>
        <w:rPr>
          <w:rFonts w:ascii="仿宋" w:hAnsi="仿宋" w:eastAsia="仿宋" w:cs="宋体"/>
          <w:color w:val="auto"/>
          <w:sz w:val="28"/>
          <w:szCs w:val="28"/>
          <w:highlight w:val="none"/>
        </w:rPr>
      </w:pPr>
      <w:r>
        <w:rPr>
          <w:rFonts w:ascii="仿宋" w:hAnsi="仿宋" w:eastAsia="仿宋"/>
          <w:color w:val="auto"/>
          <w:highlight w:val="none"/>
        </w:rPr>
        <w:br w:type="page"/>
      </w:r>
    </w:p>
    <w:p w14:paraId="33479490">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14:paraId="7F5D134F">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一、</w:t>
      </w:r>
      <w:r>
        <w:rPr>
          <w:rFonts w:hint="eastAsia" w:ascii="仿宋" w:hAnsi="仿宋" w:eastAsia="仿宋" w:cs="仿宋"/>
          <w:b/>
          <w:color w:val="auto"/>
          <w:sz w:val="24"/>
          <w:szCs w:val="24"/>
          <w:highlight w:val="none"/>
        </w:rPr>
        <w:t>开标</w:t>
      </w:r>
      <w:r>
        <w:rPr>
          <w:rFonts w:ascii="仿宋" w:hAnsi="仿宋" w:eastAsia="仿宋" w:cs="仿宋"/>
          <w:b/>
          <w:color w:val="auto"/>
          <w:sz w:val="24"/>
          <w:szCs w:val="24"/>
          <w:highlight w:val="none"/>
        </w:rPr>
        <w:t>方式</w:t>
      </w:r>
    </w:p>
    <w:p w14:paraId="0BEE6A8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邮寄响应文件，另行开标</w:t>
      </w:r>
      <w:r>
        <w:rPr>
          <w:rFonts w:hint="eastAsia" w:ascii="仿宋" w:hAnsi="仿宋" w:eastAsia="仿宋" w:cs="仿宋"/>
          <w:bCs/>
          <w:color w:val="auto"/>
          <w:sz w:val="24"/>
          <w:szCs w:val="24"/>
          <w:highlight w:val="none"/>
        </w:rPr>
        <w:t>。</w:t>
      </w:r>
    </w:p>
    <w:p w14:paraId="76995C1A">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招标</w:t>
      </w:r>
      <w:r>
        <w:rPr>
          <w:rFonts w:ascii="仿宋" w:hAnsi="仿宋" w:eastAsia="仿宋" w:cs="仿宋"/>
          <w:b/>
          <w:color w:val="auto"/>
          <w:sz w:val="24"/>
          <w:szCs w:val="24"/>
          <w:highlight w:val="none"/>
        </w:rPr>
        <w:t>评审方法和标准</w:t>
      </w:r>
    </w:p>
    <w:p w14:paraId="5AF88E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评审方法</w:t>
      </w:r>
    </w:p>
    <w:p w14:paraId="2E8B0DC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.本项目采用最低价中标法。</w:t>
      </w:r>
    </w:p>
    <w:p w14:paraId="4B74CB3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.对合格</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响应文件内的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技术响文件进行评选。</w:t>
      </w:r>
    </w:p>
    <w:p w14:paraId="66D6EA7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.评标小组严格按照</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文件的规定要求、条件标准，对</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响应供应商所提供的完整计划标的物采购的服务是否符合采购需求，对其质量和服务等实质性响应内容进行比较评价。具体如下表：</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10A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36F560E3">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14C4499D">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lang w:eastAsia="zh-CN"/>
              </w:rPr>
              <w:t>招标</w:t>
            </w:r>
            <w:r>
              <w:rPr>
                <w:rFonts w:hint="eastAsia" w:ascii="仿宋" w:hAnsi="仿宋" w:eastAsia="仿宋" w:cs="Times New Roman"/>
                <w:b/>
                <w:bCs/>
                <w:color w:val="auto"/>
                <w:kern w:val="0"/>
                <w:sz w:val="24"/>
                <w:szCs w:val="24"/>
                <w:highlight w:val="none"/>
              </w:rPr>
              <w:t>响应满足性评审比较内容</w:t>
            </w:r>
          </w:p>
        </w:tc>
      </w:tr>
      <w:tr w14:paraId="4016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781004D6">
            <w:pPr>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0A167E80">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供应商提供响应项目的需求产品的数量是否满足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2F0C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6ED9F3B">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8051" w:type="dxa"/>
            <w:tcBorders>
              <w:top w:val="single" w:color="auto" w:sz="4" w:space="0"/>
              <w:left w:val="single" w:color="auto" w:sz="4" w:space="0"/>
              <w:bottom w:val="single" w:color="auto" w:sz="4" w:space="0"/>
              <w:right w:val="single" w:color="auto" w:sz="4" w:space="0"/>
            </w:tcBorders>
            <w:vAlign w:val="center"/>
          </w:tcPr>
          <w:p w14:paraId="1F74E4B3">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供应商提供的项目产品技术参数要求是否满足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35BB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8A1ECB6">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8051" w:type="dxa"/>
            <w:tcBorders>
              <w:top w:val="single" w:color="auto" w:sz="4" w:space="0"/>
              <w:left w:val="single" w:color="auto" w:sz="4" w:space="0"/>
              <w:bottom w:val="single" w:color="auto" w:sz="4" w:space="0"/>
              <w:right w:val="single" w:color="auto" w:sz="4" w:space="0"/>
            </w:tcBorders>
            <w:vAlign w:val="center"/>
          </w:tcPr>
          <w:p w14:paraId="7B034A57">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响应供应商提供的产品的相关证明材料是否满足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04CD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522FE15">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8051" w:type="dxa"/>
            <w:tcBorders>
              <w:top w:val="single" w:color="auto" w:sz="4" w:space="0"/>
              <w:left w:val="single" w:color="auto" w:sz="4" w:space="0"/>
              <w:bottom w:val="single" w:color="auto" w:sz="4" w:space="0"/>
              <w:right w:val="single" w:color="auto" w:sz="4" w:space="0"/>
            </w:tcBorders>
            <w:vAlign w:val="center"/>
          </w:tcPr>
          <w:p w14:paraId="1E88E526">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商务技术要求的响应是否满足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bl>
    <w:p w14:paraId="35E59E9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.判定符合采购需求、质量和服务相等的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响应供应商后，针对其报价进行最终判定。</w:t>
      </w:r>
    </w:p>
    <w:p w14:paraId="7F33D01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.本次项目</w:t>
      </w:r>
      <w:r>
        <w:rPr>
          <w:rFonts w:hint="eastAsia" w:ascii="仿宋" w:hAnsi="仿宋" w:eastAsia="仿宋" w:cs="仿宋"/>
          <w:bCs/>
          <w:color w:val="auto"/>
          <w:sz w:val="24"/>
          <w:szCs w:val="24"/>
          <w:highlight w:val="none"/>
          <w:lang w:val="en-US" w:eastAsia="zh-CN"/>
        </w:rPr>
        <w:t>以分包预算为</w:t>
      </w:r>
      <w:r>
        <w:rPr>
          <w:rFonts w:hint="eastAsia" w:ascii="仿宋" w:hAnsi="仿宋" w:eastAsia="仿宋" w:cs="仿宋"/>
          <w:bCs/>
          <w:color w:val="auto"/>
          <w:sz w:val="24"/>
          <w:szCs w:val="24"/>
          <w:highlight w:val="none"/>
        </w:rPr>
        <w:t>最高限价，超出限价作无效</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响应处理。</w:t>
      </w:r>
    </w:p>
    <w:p w14:paraId="0F3D0959">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.按照质量和服务均能满足</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采购文件实质性响应要求且报价最低的原则，确定成交供应商。</w:t>
      </w:r>
    </w:p>
    <w:p w14:paraId="4BF75CC5">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报价中明显偏离市场价格的不合理标书，我局采购评审小组将作废处理。</w:t>
      </w:r>
    </w:p>
    <w:p w14:paraId="34B30C3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ascii="仿宋" w:hAnsi="仿宋" w:eastAsia="仿宋" w:cs="仿宋"/>
          <w:bCs/>
          <w:color w:val="auto"/>
          <w:sz w:val="24"/>
          <w:szCs w:val="24"/>
          <w:highlight w:val="none"/>
        </w:rPr>
        <w:t>）成交供应商的确定</w:t>
      </w:r>
    </w:p>
    <w:p w14:paraId="5560BD5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评标小组根据全体成员签字的原始评审记录和结果编写评审报告。评标小组按报价由低到高的顺序排列，排名前三名的依次为第一、第二、第三成交候选人。</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响应报价相同的，现场抽签决定成交候选人排名顺序</w:t>
      </w:r>
      <w:r>
        <w:rPr>
          <w:rFonts w:ascii="仿宋" w:hAnsi="仿宋" w:eastAsia="仿宋" w:cs="仿宋"/>
          <w:bCs/>
          <w:color w:val="auto"/>
          <w:sz w:val="24"/>
          <w:szCs w:val="24"/>
          <w:highlight w:val="none"/>
        </w:rPr>
        <w:t>。</w:t>
      </w:r>
    </w:p>
    <w:p w14:paraId="341DE1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成交候选人原则上为成交供应商，成交价为其响应报价。当排名第一的成交候选人放弃成交、因不可抗力不能履行合同，或者被查实存在影响成交结果的违法行为等情形，不符合成交条件的，采购人可以按照评标小组提出的成交候选人名单排序依次确定其他成交候选人为成交供应商，也可以重新</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w:t>
      </w:r>
    </w:p>
    <w:p w14:paraId="459483A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采购人委托</w:t>
      </w:r>
      <w:r>
        <w:rPr>
          <w:rFonts w:hint="eastAsia" w:ascii="仿宋" w:hAnsi="仿宋" w:eastAsia="仿宋" w:cs="仿宋"/>
          <w:bCs/>
          <w:color w:val="auto"/>
          <w:sz w:val="24"/>
          <w:szCs w:val="24"/>
          <w:highlight w:val="none"/>
        </w:rPr>
        <w:t>评标</w:t>
      </w:r>
      <w:r>
        <w:rPr>
          <w:rFonts w:ascii="仿宋" w:hAnsi="仿宋" w:eastAsia="仿宋" w:cs="仿宋"/>
          <w:bCs/>
          <w:color w:val="auto"/>
          <w:sz w:val="24"/>
          <w:szCs w:val="24"/>
          <w:highlight w:val="none"/>
        </w:rPr>
        <w:t>小组直接确定成交供应商。</w:t>
      </w:r>
    </w:p>
    <w:p w14:paraId="2FC623B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ascii="仿宋" w:hAnsi="仿宋" w:eastAsia="仿宋" w:cs="仿宋"/>
          <w:bCs/>
          <w:color w:val="auto"/>
          <w:sz w:val="24"/>
          <w:szCs w:val="24"/>
          <w:highlight w:val="none"/>
        </w:rPr>
        <w:t>）采购人代表宣布评审结果。</w:t>
      </w:r>
    </w:p>
    <w:p w14:paraId="657927B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ascii="仿宋" w:hAnsi="仿宋" w:eastAsia="仿宋" w:cs="仿宋"/>
          <w:bCs/>
          <w:color w:val="auto"/>
          <w:sz w:val="24"/>
          <w:szCs w:val="24"/>
          <w:highlight w:val="none"/>
        </w:rPr>
        <w:t>）公告成交结果</w:t>
      </w:r>
    </w:p>
    <w:p w14:paraId="1DBFEC3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14:paraId="10D05BB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ascii="仿宋" w:hAnsi="仿宋" w:eastAsia="仿宋" w:cs="仿宋"/>
          <w:bCs/>
          <w:color w:val="auto"/>
          <w:sz w:val="24"/>
          <w:szCs w:val="24"/>
          <w:highlight w:val="none"/>
        </w:rPr>
        <w:t>）发放成交通知书</w:t>
      </w:r>
    </w:p>
    <w:p w14:paraId="391313E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w:t>
      </w:r>
      <w:r>
        <w:rPr>
          <w:rFonts w:hint="eastAsia" w:ascii="仿宋" w:hAnsi="仿宋" w:eastAsia="仿宋" w:cs="仿宋"/>
          <w:bCs/>
          <w:color w:val="auto"/>
          <w:sz w:val="24"/>
          <w:szCs w:val="24"/>
          <w:highlight w:val="none"/>
          <w:lang w:eastAsia="zh-CN"/>
        </w:rPr>
        <w:t>采购人</w:t>
      </w:r>
      <w:r>
        <w:rPr>
          <w:rFonts w:ascii="仿宋" w:hAnsi="仿宋" w:eastAsia="仿宋" w:cs="仿宋"/>
          <w:bCs/>
          <w:color w:val="auto"/>
          <w:sz w:val="24"/>
          <w:szCs w:val="24"/>
          <w:highlight w:val="none"/>
        </w:rPr>
        <w:t>向成交供应商发放成交通知书。</w:t>
      </w:r>
    </w:p>
    <w:p w14:paraId="1177B9F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14:paraId="6E3A24D1">
      <w:pPr>
        <w:widowControl/>
        <w:jc w:val="left"/>
        <w:rPr>
          <w:rFonts w:ascii="仿宋" w:hAnsi="仿宋" w:eastAsia="仿宋"/>
          <w:b/>
          <w:bCs/>
          <w:color w:val="auto"/>
          <w:kern w:val="44"/>
          <w:sz w:val="44"/>
          <w:szCs w:val="44"/>
          <w:highlight w:val="none"/>
        </w:rPr>
      </w:pPr>
      <w:r>
        <w:rPr>
          <w:rFonts w:ascii="仿宋" w:hAnsi="仿宋" w:eastAsia="仿宋"/>
          <w:color w:val="auto"/>
          <w:highlight w:val="none"/>
        </w:rPr>
        <w:br w:type="page"/>
      </w:r>
    </w:p>
    <w:p w14:paraId="61E1D352">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14:paraId="16798618">
      <w:pPr>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148249A4">
      <w:pPr>
        <w:spacing w:line="480" w:lineRule="auto"/>
        <w:jc w:val="center"/>
        <w:rPr>
          <w:rFonts w:ascii="仿宋" w:hAnsi="仿宋" w:eastAsia="仿宋" w:cs="Times New Roman"/>
          <w:b/>
          <w:color w:val="auto"/>
          <w:sz w:val="24"/>
          <w:szCs w:val="24"/>
          <w:highlight w:val="none"/>
        </w:rPr>
      </w:pPr>
    </w:p>
    <w:p w14:paraId="49C0AD59">
      <w:pPr>
        <w:spacing w:line="480" w:lineRule="auto"/>
        <w:jc w:val="center"/>
        <w:rPr>
          <w:rFonts w:ascii="仿宋" w:hAnsi="仿宋" w:eastAsia="仿宋" w:cs="Times New Roman"/>
          <w:b/>
          <w:color w:val="auto"/>
          <w:sz w:val="24"/>
          <w:szCs w:val="24"/>
          <w:highlight w:val="none"/>
        </w:rPr>
      </w:pPr>
    </w:p>
    <w:p w14:paraId="335F150A">
      <w:pPr>
        <w:spacing w:line="480" w:lineRule="auto"/>
        <w:jc w:val="center"/>
        <w:rPr>
          <w:rFonts w:ascii="仿宋" w:hAnsi="仿宋" w:eastAsia="仿宋" w:cs="Times New Roman"/>
          <w:b/>
          <w:color w:val="auto"/>
          <w:sz w:val="24"/>
          <w:szCs w:val="24"/>
          <w:highlight w:val="none"/>
        </w:rPr>
      </w:pPr>
    </w:p>
    <w:p w14:paraId="44610A91">
      <w:pPr>
        <w:spacing w:line="480" w:lineRule="auto"/>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政府采购合同</w:t>
      </w:r>
    </w:p>
    <w:p w14:paraId="76966876">
      <w:pPr>
        <w:spacing w:line="48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（货物类）</w:t>
      </w:r>
    </w:p>
    <w:p w14:paraId="54E75B40">
      <w:pPr>
        <w:autoSpaceDE w:val="0"/>
        <w:autoSpaceDN w:val="0"/>
        <w:adjustRightInd w:val="0"/>
        <w:jc w:val="left"/>
        <w:rPr>
          <w:rFonts w:ascii="仿宋" w:hAnsi="仿宋" w:eastAsia="仿宋" w:cs="Times New Roman"/>
          <w:color w:val="auto"/>
          <w:sz w:val="24"/>
          <w:szCs w:val="24"/>
          <w:highlight w:val="none"/>
        </w:rPr>
      </w:pPr>
    </w:p>
    <w:p w14:paraId="1A23D2BB">
      <w:pPr>
        <w:autoSpaceDE w:val="0"/>
        <w:autoSpaceDN w:val="0"/>
        <w:adjustRightInd w:val="0"/>
        <w:jc w:val="left"/>
        <w:rPr>
          <w:rFonts w:ascii="仿宋" w:hAnsi="仿宋" w:eastAsia="仿宋" w:cs="Times New Roman"/>
          <w:color w:val="auto"/>
          <w:sz w:val="24"/>
          <w:szCs w:val="24"/>
          <w:highlight w:val="none"/>
        </w:rPr>
      </w:pPr>
    </w:p>
    <w:p w14:paraId="5E75F9DD">
      <w:pPr>
        <w:autoSpaceDE w:val="0"/>
        <w:autoSpaceDN w:val="0"/>
        <w:adjustRightInd w:val="0"/>
        <w:jc w:val="left"/>
        <w:rPr>
          <w:rFonts w:ascii="仿宋" w:hAnsi="仿宋" w:eastAsia="仿宋" w:cs="Times New Roman"/>
          <w:color w:val="auto"/>
          <w:sz w:val="24"/>
          <w:szCs w:val="24"/>
          <w:highlight w:val="none"/>
        </w:rPr>
      </w:pPr>
    </w:p>
    <w:p w14:paraId="42525FD8">
      <w:pPr>
        <w:autoSpaceDE w:val="0"/>
        <w:autoSpaceDN w:val="0"/>
        <w:adjustRightInd w:val="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14:paraId="2895F090">
      <w:pPr>
        <w:spacing w:line="360" w:lineRule="auto"/>
        <w:ind w:firstLine="480" w:firstLineChars="200"/>
        <w:rPr>
          <w:rFonts w:ascii="仿宋" w:hAnsi="仿宋" w:eastAsia="仿宋" w:cs="Times New Roman"/>
          <w:color w:val="auto"/>
          <w:sz w:val="24"/>
          <w:szCs w:val="24"/>
          <w:highlight w:val="none"/>
        </w:rPr>
      </w:pPr>
    </w:p>
    <w:p w14:paraId="4ED59498">
      <w:pPr>
        <w:autoSpaceDE w:val="0"/>
        <w:autoSpaceDN w:val="0"/>
        <w:adjustRightInd w:val="0"/>
        <w:jc w:val="left"/>
        <w:rPr>
          <w:rFonts w:ascii="仿宋" w:hAnsi="仿宋" w:eastAsia="仿宋" w:cs="Times New Roman"/>
          <w:color w:val="auto"/>
          <w:sz w:val="24"/>
          <w:szCs w:val="24"/>
          <w:highlight w:val="none"/>
        </w:rPr>
      </w:pPr>
    </w:p>
    <w:p w14:paraId="30296F4B">
      <w:pPr>
        <w:spacing w:before="120" w:line="22" w:lineRule="atLeast"/>
        <w:rPr>
          <w:rFonts w:ascii="仿宋" w:hAnsi="仿宋" w:eastAsia="仿宋" w:cs="Times New Roman"/>
          <w:color w:val="auto"/>
          <w:sz w:val="24"/>
          <w:szCs w:val="24"/>
          <w:highlight w:val="none"/>
        </w:rPr>
      </w:pPr>
    </w:p>
    <w:p w14:paraId="0A8F8BE8">
      <w:pPr>
        <w:spacing w:before="120" w:line="22" w:lineRule="atLeast"/>
        <w:ind w:left="96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p>
    <w:p w14:paraId="30A75CEE">
      <w:pPr>
        <w:spacing w:before="120" w:line="22" w:lineRule="atLeast"/>
        <w:rPr>
          <w:rFonts w:ascii="仿宋" w:hAnsi="仿宋" w:eastAsia="仿宋" w:cs="Times New Roman"/>
          <w:color w:val="auto"/>
          <w:sz w:val="24"/>
          <w:szCs w:val="24"/>
          <w:highlight w:val="none"/>
        </w:rPr>
      </w:pPr>
    </w:p>
    <w:p w14:paraId="1DAD5075">
      <w:pPr>
        <w:spacing w:before="120" w:line="22" w:lineRule="atLeast"/>
        <w:rPr>
          <w:rFonts w:ascii="仿宋" w:hAnsi="仿宋" w:eastAsia="仿宋" w:cs="Times New Roman"/>
          <w:color w:val="auto"/>
          <w:sz w:val="24"/>
          <w:szCs w:val="24"/>
          <w:highlight w:val="none"/>
        </w:rPr>
      </w:pPr>
    </w:p>
    <w:p w14:paraId="627CF33F">
      <w:pPr>
        <w:rPr>
          <w:rFonts w:ascii="仿宋" w:hAnsi="仿宋" w:eastAsia="仿宋" w:cs="Times New Roman"/>
          <w:color w:val="auto"/>
          <w:sz w:val="24"/>
          <w:szCs w:val="24"/>
          <w:highlight w:val="none"/>
        </w:rPr>
      </w:pPr>
    </w:p>
    <w:p w14:paraId="5A9D6F16">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p>
    <w:p w14:paraId="20247530">
      <w:pPr>
        <w:spacing w:before="120" w:line="22" w:lineRule="atLeast"/>
        <w:rPr>
          <w:rFonts w:ascii="仿宋" w:hAnsi="仿宋" w:eastAsia="仿宋" w:cs="Times New Roman"/>
          <w:color w:val="auto"/>
          <w:sz w:val="24"/>
          <w:szCs w:val="24"/>
          <w:highlight w:val="none"/>
        </w:rPr>
      </w:pPr>
    </w:p>
    <w:p w14:paraId="5AFFA198">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4F926E77">
      <w:pPr>
        <w:spacing w:before="120" w:line="22" w:lineRule="atLeast"/>
        <w:rPr>
          <w:rFonts w:ascii="仿宋" w:hAnsi="仿宋" w:eastAsia="仿宋" w:cs="Times New Roman"/>
          <w:color w:val="auto"/>
          <w:sz w:val="24"/>
          <w:szCs w:val="24"/>
          <w:highlight w:val="none"/>
        </w:rPr>
      </w:pPr>
    </w:p>
    <w:p w14:paraId="7BFA3F90">
      <w:pPr>
        <w:spacing w:before="120" w:line="22" w:lineRule="atLeast"/>
        <w:ind w:firstLine="960" w:firstLineChars="4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14:paraId="54DFCDA1">
      <w:pPr>
        <w:spacing w:before="120" w:line="22" w:lineRule="atLeast"/>
        <w:rPr>
          <w:rFonts w:ascii="仿宋" w:hAnsi="仿宋" w:eastAsia="仿宋" w:cs="Times New Roman"/>
          <w:color w:val="auto"/>
          <w:sz w:val="24"/>
          <w:szCs w:val="24"/>
          <w:highlight w:val="none"/>
        </w:rPr>
      </w:pPr>
    </w:p>
    <w:p w14:paraId="5720F7E4">
      <w:pPr>
        <w:ind w:firstLine="960" w:firstLineChars="4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14:paraId="09F084A5">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19C560A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南通市农产品质量检验测试中心</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招标</w:t>
      </w:r>
      <w:r>
        <w:rPr>
          <w:rFonts w:hint="eastAsia" w:ascii="仿宋" w:hAnsi="仿宋" w:eastAsia="仿宋" w:cs="Times New Roman"/>
          <w:color w:val="auto"/>
          <w:sz w:val="24"/>
          <w:szCs w:val="24"/>
          <w:highlight w:val="none"/>
          <w:u w:val="single"/>
        </w:rPr>
        <w:t xml:space="preserve">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lang w:val="en-US" w:eastAsia="zh-CN"/>
        </w:rPr>
        <w:t>2025年</w:t>
      </w:r>
      <w:r>
        <w:rPr>
          <w:rFonts w:hint="eastAsia" w:ascii="仿宋" w:hAnsi="仿宋" w:eastAsia="仿宋" w:cs="Times New Roman"/>
          <w:color w:val="auto"/>
          <w:sz w:val="24"/>
          <w:szCs w:val="24"/>
          <w:highlight w:val="none"/>
          <w:u w:val="single"/>
          <w:lang w:eastAsia="zh-CN"/>
        </w:rPr>
        <w:t>南通市农产品质量检验测试中心</w:t>
      </w:r>
      <w:r>
        <w:rPr>
          <w:rFonts w:hint="eastAsia" w:ascii="仿宋" w:hAnsi="仿宋" w:eastAsia="仿宋" w:cs="Times New Roman"/>
          <w:color w:val="auto"/>
          <w:sz w:val="24"/>
          <w:szCs w:val="24"/>
          <w:highlight w:val="none"/>
          <w:u w:val="single"/>
          <w:lang w:val="en-US" w:eastAsia="zh-CN"/>
        </w:rPr>
        <w:t>检测标准物质</w:t>
      </w:r>
      <w:r>
        <w:rPr>
          <w:rFonts w:hint="eastAsia" w:ascii="仿宋" w:hAnsi="仿宋" w:eastAsia="仿宋" w:cs="Times New Roman"/>
          <w:color w:val="auto"/>
          <w:sz w:val="24"/>
          <w:szCs w:val="24"/>
          <w:highlight w:val="none"/>
          <w:u w:val="single"/>
          <w:lang w:eastAsia="zh-CN"/>
        </w:rPr>
        <w:t>采购项目</w:t>
      </w:r>
      <w:r>
        <w:rPr>
          <w:rFonts w:hint="eastAsia" w:ascii="仿宋" w:hAnsi="仿宋" w:eastAsia="仿宋" w:cs="Times New Roman"/>
          <w:color w:val="auto"/>
          <w:sz w:val="24"/>
          <w:szCs w:val="24"/>
          <w:highlight w:val="none"/>
        </w:rPr>
        <w:t>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w:t>
      </w:r>
      <w:r>
        <w:rPr>
          <w:rFonts w:hint="eastAsia" w:ascii="仿宋" w:hAnsi="仿宋" w:eastAsia="仿宋" w:cs="Times New Roman"/>
          <w:color w:val="auto"/>
          <w:sz w:val="24"/>
          <w:szCs w:val="24"/>
          <w:highlight w:val="none"/>
        </w:rPr>
        <w:t>为该项目中标供应商。现于中标通知书发出之日起三十日内，按照采购文件确定的事项签订本合同。</w:t>
      </w:r>
    </w:p>
    <w:p w14:paraId="666662C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南通市农产品质量检验测试中心</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14:paraId="63D23CE9">
      <w:pPr>
        <w:spacing w:line="360" w:lineRule="auto"/>
        <w:ind w:firstLine="482" w:firstLineChars="200"/>
        <w:rPr>
          <w:rFonts w:ascii="仿宋" w:hAnsi="仿宋" w:eastAsia="仿宋" w:cs="Times New Roman"/>
          <w:b/>
          <w:bCs/>
          <w:color w:val="auto"/>
          <w:sz w:val="24"/>
          <w:szCs w:val="24"/>
          <w:highlight w:val="none"/>
        </w:rPr>
      </w:pPr>
      <w:bookmarkStart w:id="94" w:name="_Toc2232"/>
      <w:bookmarkStart w:id="95" w:name="_Toc24059"/>
      <w:bookmarkStart w:id="96" w:name="_Toc3029"/>
      <w:r>
        <w:rPr>
          <w:rFonts w:hint="eastAsia" w:ascii="仿宋" w:hAnsi="仿宋" w:eastAsia="仿宋" w:cs="Times New Roman"/>
          <w:b/>
          <w:bCs/>
          <w:color w:val="auto"/>
          <w:sz w:val="24"/>
          <w:szCs w:val="24"/>
          <w:highlight w:val="none"/>
        </w:rPr>
        <w:t>1.1 合同组成部分</w:t>
      </w:r>
      <w:bookmarkEnd w:id="94"/>
      <w:bookmarkEnd w:id="95"/>
      <w:bookmarkEnd w:id="96"/>
    </w:p>
    <w:p w14:paraId="7BAB957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EEA31C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14:paraId="14F06E1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14:paraId="0FC392C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14:paraId="4C9F85A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14:paraId="01903C5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14:paraId="493244D9">
      <w:pPr>
        <w:spacing w:line="360" w:lineRule="auto"/>
        <w:ind w:firstLine="482" w:firstLineChars="200"/>
        <w:rPr>
          <w:rFonts w:ascii="仿宋" w:hAnsi="仿宋" w:eastAsia="仿宋" w:cs="Times New Roman"/>
          <w:b/>
          <w:bCs/>
          <w:color w:val="auto"/>
          <w:sz w:val="24"/>
          <w:szCs w:val="24"/>
          <w:highlight w:val="none"/>
        </w:rPr>
      </w:pPr>
      <w:bookmarkStart w:id="97" w:name="_Toc27126"/>
      <w:bookmarkStart w:id="98" w:name="_Toc24300"/>
      <w:bookmarkStart w:id="99" w:name="_Toc21295"/>
      <w:r>
        <w:rPr>
          <w:rFonts w:hint="eastAsia" w:ascii="仿宋" w:hAnsi="仿宋" w:eastAsia="仿宋" w:cs="Times New Roman"/>
          <w:b/>
          <w:bCs/>
          <w:color w:val="auto"/>
          <w:sz w:val="24"/>
          <w:szCs w:val="24"/>
          <w:highlight w:val="none"/>
        </w:rPr>
        <w:t>1.2 货物</w:t>
      </w:r>
      <w:bookmarkEnd w:id="97"/>
      <w:bookmarkEnd w:id="98"/>
      <w:bookmarkEnd w:id="99"/>
    </w:p>
    <w:p w14:paraId="7D08DC43">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货物</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782CC17">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货物</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18D883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货物质量：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F1FC169">
      <w:pPr>
        <w:spacing w:line="360" w:lineRule="auto"/>
        <w:ind w:firstLine="482" w:firstLineChars="200"/>
        <w:rPr>
          <w:rFonts w:ascii="仿宋" w:hAnsi="仿宋" w:eastAsia="仿宋" w:cs="Times New Roman"/>
          <w:b/>
          <w:bCs/>
          <w:color w:val="auto"/>
          <w:sz w:val="24"/>
          <w:szCs w:val="24"/>
          <w:highlight w:val="none"/>
        </w:rPr>
      </w:pPr>
      <w:bookmarkStart w:id="100" w:name="_Toc21631"/>
      <w:bookmarkStart w:id="101" w:name="_Toc23292"/>
      <w:bookmarkStart w:id="102" w:name="_Toc21551"/>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价款</w:t>
      </w:r>
      <w:bookmarkEnd w:id="100"/>
      <w:bookmarkEnd w:id="101"/>
      <w:bookmarkEnd w:id="102"/>
    </w:p>
    <w:p w14:paraId="01F83058">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14:paraId="0A2897BD">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p w14:paraId="3502C8FF">
      <w:pPr>
        <w:spacing w:line="560" w:lineRule="exact"/>
        <w:ind w:firstLine="480" w:firstLineChars="200"/>
        <w:rPr>
          <w:rFonts w:ascii="仿宋" w:hAnsi="仿宋" w:eastAsia="仿宋" w:cs="Times New Roman"/>
          <w:color w:val="auto"/>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194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118B0F9">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14:paraId="29900A12">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14:paraId="4F582BBF">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14:paraId="6AA4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8B288F1">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35DDDDB1">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331A265B">
            <w:pPr>
              <w:spacing w:line="360" w:lineRule="auto"/>
              <w:ind w:firstLine="200"/>
              <w:jc w:val="center"/>
              <w:rPr>
                <w:rFonts w:ascii="仿宋" w:hAnsi="仿宋" w:eastAsia="仿宋" w:cs="Times New Roman"/>
                <w:color w:val="auto"/>
                <w:sz w:val="24"/>
                <w:szCs w:val="24"/>
                <w:highlight w:val="none"/>
              </w:rPr>
            </w:pPr>
          </w:p>
        </w:tc>
      </w:tr>
      <w:tr w14:paraId="7094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07EFB4">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3807F022">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12CBB60F">
            <w:pPr>
              <w:spacing w:line="360" w:lineRule="auto"/>
              <w:ind w:firstLine="200"/>
              <w:jc w:val="center"/>
              <w:rPr>
                <w:rFonts w:ascii="仿宋" w:hAnsi="仿宋" w:eastAsia="仿宋" w:cs="Times New Roman"/>
                <w:color w:val="auto"/>
                <w:sz w:val="24"/>
                <w:szCs w:val="24"/>
                <w:highlight w:val="none"/>
              </w:rPr>
            </w:pPr>
          </w:p>
        </w:tc>
      </w:tr>
      <w:tr w14:paraId="5D5D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C6594C">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1F3654BA">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5787BD69">
            <w:pPr>
              <w:spacing w:line="360" w:lineRule="auto"/>
              <w:ind w:firstLine="200"/>
              <w:jc w:val="center"/>
              <w:rPr>
                <w:rFonts w:ascii="仿宋" w:hAnsi="仿宋" w:eastAsia="仿宋" w:cs="Times New Roman"/>
                <w:color w:val="auto"/>
                <w:sz w:val="24"/>
                <w:szCs w:val="24"/>
                <w:highlight w:val="none"/>
              </w:rPr>
            </w:pPr>
          </w:p>
        </w:tc>
      </w:tr>
      <w:tr w14:paraId="63F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92BDEA">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64421D8A">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5ED44AFF">
            <w:pPr>
              <w:spacing w:line="360" w:lineRule="auto"/>
              <w:ind w:firstLine="200"/>
              <w:jc w:val="center"/>
              <w:rPr>
                <w:rFonts w:ascii="仿宋" w:hAnsi="仿宋" w:eastAsia="仿宋" w:cs="Times New Roman"/>
                <w:color w:val="auto"/>
                <w:sz w:val="24"/>
                <w:szCs w:val="24"/>
                <w:highlight w:val="none"/>
              </w:rPr>
            </w:pPr>
          </w:p>
        </w:tc>
      </w:tr>
      <w:tr w14:paraId="3C2A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209957B">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14:paraId="708D69DF">
            <w:pPr>
              <w:spacing w:line="360" w:lineRule="auto"/>
              <w:ind w:firstLine="200"/>
              <w:jc w:val="center"/>
              <w:rPr>
                <w:rFonts w:ascii="仿宋" w:hAnsi="仿宋" w:eastAsia="仿宋" w:cs="Times New Roman"/>
                <w:color w:val="auto"/>
                <w:sz w:val="24"/>
                <w:szCs w:val="24"/>
                <w:highlight w:val="none"/>
              </w:rPr>
            </w:pPr>
          </w:p>
        </w:tc>
      </w:tr>
    </w:tbl>
    <w:p w14:paraId="52509337">
      <w:pPr>
        <w:spacing w:line="360" w:lineRule="auto"/>
        <w:ind w:firstLine="482" w:firstLineChars="200"/>
        <w:rPr>
          <w:rFonts w:ascii="仿宋" w:hAnsi="仿宋" w:eastAsia="仿宋" w:cs="Times New Roman"/>
          <w:b/>
          <w:bCs/>
          <w:color w:val="auto"/>
          <w:sz w:val="24"/>
          <w:szCs w:val="24"/>
          <w:highlight w:val="none"/>
        </w:rPr>
      </w:pPr>
      <w:bookmarkStart w:id="103" w:name="_Toc22618"/>
      <w:bookmarkStart w:id="104" w:name="_Toc1814"/>
      <w:bookmarkStart w:id="105" w:name="_Toc10340"/>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3"/>
      <w:bookmarkEnd w:id="104"/>
      <w:bookmarkEnd w:id="105"/>
    </w:p>
    <w:p w14:paraId="653E50C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1.4.1 </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83A041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C03A253">
      <w:pPr>
        <w:spacing w:line="360" w:lineRule="auto"/>
        <w:ind w:firstLine="482" w:firstLineChars="200"/>
        <w:rPr>
          <w:rFonts w:ascii="仿宋" w:hAnsi="仿宋" w:eastAsia="仿宋" w:cs="Times New Roman"/>
          <w:b/>
          <w:bCs/>
          <w:color w:val="auto"/>
          <w:sz w:val="24"/>
          <w:szCs w:val="24"/>
          <w:highlight w:val="none"/>
        </w:rPr>
      </w:pPr>
      <w:bookmarkStart w:id="106" w:name="_Toc2846"/>
      <w:bookmarkStart w:id="107" w:name="_Toc32071"/>
      <w:bookmarkStart w:id="108" w:name="_Toc19304"/>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货物交付期限</w:t>
      </w:r>
      <w:r>
        <w:rPr>
          <w:rFonts w:hint="eastAsia" w:ascii="仿宋" w:hAnsi="仿宋" w:eastAsia="仿宋" w:cs="Times New Roman"/>
          <w:b/>
          <w:bCs/>
          <w:color w:val="auto"/>
          <w:sz w:val="24"/>
          <w:szCs w:val="24"/>
          <w:highlight w:val="none"/>
        </w:rPr>
        <w:t>、地点和方式</w:t>
      </w:r>
      <w:bookmarkEnd w:id="106"/>
      <w:bookmarkEnd w:id="107"/>
      <w:bookmarkEnd w:id="108"/>
    </w:p>
    <w:p w14:paraId="1A26EB68">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交付期限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8F1ADF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交付地点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E78454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交付方式：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7B453264">
      <w:pPr>
        <w:spacing w:line="360" w:lineRule="auto"/>
        <w:ind w:firstLine="482" w:firstLineChars="200"/>
        <w:rPr>
          <w:rFonts w:ascii="仿宋" w:hAnsi="仿宋" w:eastAsia="仿宋" w:cs="Times New Roman"/>
          <w:b/>
          <w:bCs/>
          <w:color w:val="auto"/>
          <w:sz w:val="24"/>
          <w:szCs w:val="24"/>
          <w:highlight w:val="none"/>
        </w:rPr>
      </w:pPr>
      <w:bookmarkStart w:id="109" w:name="_Toc19554"/>
      <w:bookmarkStart w:id="110" w:name="_Toc21423"/>
      <w:bookmarkStart w:id="111" w:name="_Toc27250"/>
      <w:r>
        <w:rPr>
          <w:rFonts w:hint="eastAsia" w:ascii="仿宋" w:hAnsi="仿宋" w:eastAsia="仿宋" w:cs="Times New Roman"/>
          <w:b/>
          <w:bCs/>
          <w:color w:val="auto"/>
          <w:sz w:val="24"/>
          <w:szCs w:val="24"/>
          <w:highlight w:val="none"/>
        </w:rPr>
        <w:t>1.6 违约责任</w:t>
      </w:r>
      <w:bookmarkEnd w:id="109"/>
      <w:bookmarkEnd w:id="110"/>
      <w:bookmarkEnd w:id="111"/>
    </w:p>
    <w:p w14:paraId="0A07540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地点和方式交付货物，那么甲方可要求乙方支付违约金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违约金按每迟延交付货物一日的应交付而未交付货物价格的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迟延交付货物的违约金计算数额达到前述最高限额之日起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5C667DF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4B1DB69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2518D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E90571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93E0B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761CA309">
      <w:pPr>
        <w:spacing w:line="360" w:lineRule="auto"/>
        <w:ind w:firstLine="482" w:firstLineChars="200"/>
        <w:rPr>
          <w:rFonts w:ascii="仿宋" w:hAnsi="仿宋" w:eastAsia="仿宋" w:cs="Times New Roman"/>
          <w:b/>
          <w:bCs/>
          <w:color w:val="auto"/>
          <w:sz w:val="24"/>
          <w:szCs w:val="24"/>
          <w:highlight w:val="none"/>
        </w:rPr>
      </w:pPr>
      <w:bookmarkStart w:id="112" w:name="_Toc28375"/>
      <w:bookmarkStart w:id="113" w:name="_Toc15583"/>
      <w:bookmarkStart w:id="114" w:name="_Toc16021"/>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12"/>
      <w:bookmarkEnd w:id="113"/>
      <w:bookmarkEnd w:id="114"/>
    </w:p>
    <w:p w14:paraId="1696C75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14:paraId="47C044B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14:paraId="7B50C13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14:paraId="7384216A">
      <w:pPr>
        <w:spacing w:line="360" w:lineRule="auto"/>
        <w:ind w:firstLine="482" w:firstLineChars="200"/>
        <w:rPr>
          <w:rFonts w:ascii="仿宋" w:hAnsi="仿宋" w:eastAsia="仿宋" w:cs="Times New Roman"/>
          <w:b/>
          <w:bCs/>
          <w:color w:val="auto"/>
          <w:sz w:val="24"/>
          <w:szCs w:val="24"/>
          <w:highlight w:val="none"/>
        </w:rPr>
      </w:pPr>
      <w:bookmarkStart w:id="115" w:name="_Toc11173"/>
      <w:bookmarkStart w:id="116" w:name="_Toc15322"/>
      <w:bookmarkStart w:id="117" w:name="_Toc7245"/>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15"/>
      <w:bookmarkEnd w:id="116"/>
      <w:bookmarkEnd w:id="117"/>
    </w:p>
    <w:p w14:paraId="7C8DD8A1">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14:paraId="5521F2AF">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27E8ED6E">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 xml:space="preserve">      乙方</w:t>
      </w:r>
      <w:r>
        <w:rPr>
          <w:rFonts w:hint="eastAsia" w:ascii="仿宋" w:hAnsi="仿宋" w:eastAsia="仿宋" w:cs="Times New Roman"/>
          <w:color w:val="auto"/>
          <w:sz w:val="24"/>
          <w:szCs w:val="24"/>
          <w:highlight w:val="none"/>
          <w:lang w:val="zh-CN"/>
        </w:rPr>
        <w:t>：</w:t>
      </w:r>
    </w:p>
    <w:p w14:paraId="72897339">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14:paraId="1C94B583">
      <w:pPr>
        <w:autoSpaceDE w:val="0"/>
        <w:autoSpaceDN w:val="0"/>
        <w:adjustRightInd w:val="0"/>
        <w:spacing w:line="560" w:lineRule="exact"/>
        <w:rPr>
          <w:rFonts w:ascii="仿宋" w:hAnsi="仿宋" w:eastAsia="仿宋" w:cs="Times New Roman"/>
          <w:color w:val="auto"/>
          <w:sz w:val="24"/>
          <w:szCs w:val="24"/>
          <w:highlight w:val="none"/>
          <w:lang w:val="zh-CN"/>
        </w:rPr>
      </w:pPr>
    </w:p>
    <w:p w14:paraId="29ED7B8F">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14:paraId="3AD6C33B">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14:paraId="6B240FDD">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14:paraId="19DE37C6">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14:paraId="30390F8D">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14:paraId="557F6779">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14:paraId="4E31F675">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14:paraId="434AE706">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14:paraId="29BB87F1">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14:paraId="0750A83C">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14:paraId="5230A5CF">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14:paraId="19330D9D">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14:paraId="0DA7AC23">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653A5A93">
      <w:pPr>
        <w:autoSpaceDE w:val="0"/>
        <w:autoSpaceDN w:val="0"/>
        <w:adjustRightInd w:val="0"/>
        <w:spacing w:line="560" w:lineRule="exact"/>
        <w:ind w:firstLine="20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14:paraId="61A7523A">
      <w:pPr>
        <w:spacing w:line="360" w:lineRule="auto"/>
        <w:ind w:firstLine="482" w:firstLineChars="200"/>
        <w:rPr>
          <w:rFonts w:ascii="仿宋" w:hAnsi="仿宋" w:eastAsia="仿宋" w:cs="Times New Roman"/>
          <w:b/>
          <w:bCs/>
          <w:color w:val="auto"/>
          <w:sz w:val="24"/>
          <w:szCs w:val="24"/>
          <w:highlight w:val="none"/>
        </w:rPr>
      </w:pPr>
      <w:bookmarkStart w:id="118" w:name="_Ref467379214"/>
      <w:bookmarkStart w:id="119" w:name="_Toc259093669"/>
      <w:bookmarkStart w:id="120" w:name="_Toc16917"/>
      <w:bookmarkStart w:id="121" w:name="_Ref467379094"/>
      <w:bookmarkStart w:id="122" w:name="_Ref467379109"/>
      <w:bookmarkStart w:id="123" w:name="_Ref467378463"/>
      <w:bookmarkStart w:id="124" w:name="_Ref467378499"/>
      <w:bookmarkStart w:id="125" w:name="_Toc19614"/>
      <w:bookmarkStart w:id="126" w:name="_Toc487900349"/>
      <w:bookmarkStart w:id="127" w:name="_Ref467379205"/>
      <w:bookmarkStart w:id="128" w:name="_Toc28763"/>
      <w:bookmarkStart w:id="129" w:name="_Ref467379101"/>
      <w:bookmarkStart w:id="130" w:name="_Ref467379195"/>
      <w:bookmarkStart w:id="131" w:name="_Toc279701240"/>
      <w:bookmarkStart w:id="132" w:name="_Ref467379225"/>
      <w:bookmarkStart w:id="133" w:name="_Ref467378404"/>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35634F1">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14:paraId="05D5054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14:paraId="793865B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14:paraId="4090695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“货物”系指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根据合同约定应向采购人交付的一切</w:t>
      </w:r>
      <w:r>
        <w:rPr>
          <w:rFonts w:hint="eastAsia" w:ascii="仿宋" w:hAnsi="仿宋" w:eastAsia="仿宋" w:cs="Times New Roman"/>
          <w:color w:val="auto"/>
          <w:sz w:val="24"/>
          <w:szCs w:val="24"/>
          <w:highlight w:val="none"/>
        </w:rPr>
        <w:t>各种形态和种类的物品，包括原材料、燃料、设备、</w:t>
      </w:r>
      <w:r>
        <w:rPr>
          <w:rFonts w:ascii="仿宋" w:hAnsi="仿宋" w:eastAsia="仿宋" w:cs="Times New Roman"/>
          <w:color w:val="auto"/>
          <w:sz w:val="24"/>
          <w:szCs w:val="24"/>
          <w:highlight w:val="none"/>
        </w:rPr>
        <w:t>机械、仪表、备件</w:t>
      </w:r>
      <w:r>
        <w:rPr>
          <w:rFonts w:hint="eastAsia" w:ascii="仿宋" w:hAnsi="仿宋" w:eastAsia="仿宋" w:cs="Times New Roman"/>
          <w:color w:val="auto"/>
          <w:sz w:val="24"/>
          <w:szCs w:val="24"/>
          <w:highlight w:val="none"/>
        </w:rPr>
        <w:t>、计算机软件、产品等</w:t>
      </w:r>
      <w:r>
        <w:rPr>
          <w:rFonts w:ascii="仿宋" w:hAnsi="仿宋" w:eastAsia="仿宋" w:cs="Times New Roman"/>
          <w:color w:val="auto"/>
          <w:sz w:val="24"/>
          <w:szCs w:val="24"/>
          <w:highlight w:val="none"/>
        </w:rPr>
        <w:t>，并包括工具、手册等其他相关资料。</w:t>
      </w:r>
    </w:p>
    <w:p w14:paraId="519CFD54">
      <w:pPr>
        <w:spacing w:line="560" w:lineRule="exact"/>
        <w:ind w:firstLine="480" w:firstLineChars="200"/>
        <w:rPr>
          <w:rFonts w:ascii="仿宋" w:hAnsi="仿宋" w:eastAsia="仿宋" w:cs="Times New Roman"/>
          <w:color w:val="auto"/>
          <w:sz w:val="24"/>
          <w:szCs w:val="24"/>
          <w:highlight w:val="none"/>
        </w:rPr>
      </w:pPr>
      <w:bookmarkStart w:id="134" w:name="_Ref46737884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bookmarkEnd w:id="134"/>
      <w:r>
        <w:rPr>
          <w:rFonts w:hint="eastAsia" w:ascii="仿宋" w:hAnsi="仿宋" w:eastAsia="仿宋" w:cs="Times New Roman"/>
          <w:color w:val="auto"/>
          <w:sz w:val="24"/>
          <w:szCs w:val="24"/>
          <w:highlight w:val="none"/>
        </w:rPr>
        <w:t>；采购人委托</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代表其与乙方签订合同的，采购人的授权委托书作为合同附件。</w:t>
      </w:r>
    </w:p>
    <w:p w14:paraId="0E9534DB">
      <w:pPr>
        <w:spacing w:line="560" w:lineRule="exact"/>
        <w:ind w:firstLine="480" w:firstLineChars="200"/>
        <w:rPr>
          <w:rFonts w:ascii="仿宋" w:hAnsi="仿宋" w:eastAsia="仿宋" w:cs="Times New Roman"/>
          <w:color w:val="auto"/>
          <w:sz w:val="24"/>
          <w:szCs w:val="24"/>
          <w:highlight w:val="none"/>
        </w:rPr>
      </w:pPr>
      <w:bookmarkStart w:id="135" w:name="_Ref46737940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“乙方”系指根据合同约定交付货物的中标供应商</w:t>
      </w:r>
      <w:bookmarkEnd w:id="135"/>
      <w:r>
        <w:rPr>
          <w:rFonts w:hint="eastAsia" w:ascii="仿宋" w:hAnsi="仿宋" w:eastAsia="仿宋"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C07B9F">
      <w:pPr>
        <w:spacing w:line="560" w:lineRule="exact"/>
        <w:ind w:firstLine="480" w:firstLineChars="200"/>
        <w:rPr>
          <w:rFonts w:ascii="仿宋" w:hAnsi="仿宋" w:eastAsia="仿宋" w:cs="Times New Roman"/>
          <w:color w:val="auto"/>
          <w:sz w:val="24"/>
          <w:szCs w:val="24"/>
          <w:highlight w:val="none"/>
        </w:rPr>
      </w:pPr>
      <w:bookmarkStart w:id="136" w:name="_Ref467379436"/>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“现场”系指合同约定货物将要运至</w:t>
      </w:r>
      <w:r>
        <w:rPr>
          <w:rFonts w:hint="eastAsia" w:ascii="仿宋" w:hAnsi="仿宋" w:eastAsia="仿宋" w:cs="Times New Roman"/>
          <w:color w:val="auto"/>
          <w:sz w:val="24"/>
          <w:szCs w:val="24"/>
          <w:highlight w:val="none"/>
        </w:rPr>
        <w:t>或者</w:t>
      </w:r>
      <w:r>
        <w:rPr>
          <w:rFonts w:ascii="仿宋" w:hAnsi="仿宋" w:eastAsia="仿宋" w:cs="Times New Roman"/>
          <w:color w:val="auto"/>
          <w:sz w:val="24"/>
          <w:szCs w:val="24"/>
          <w:highlight w:val="none"/>
        </w:rPr>
        <w:t>安装的地点。</w:t>
      </w:r>
      <w:bookmarkEnd w:id="136"/>
    </w:p>
    <w:p w14:paraId="63335117">
      <w:pPr>
        <w:spacing w:line="360" w:lineRule="auto"/>
        <w:ind w:firstLine="482" w:firstLineChars="200"/>
        <w:rPr>
          <w:rFonts w:ascii="仿宋" w:hAnsi="仿宋" w:eastAsia="仿宋" w:cs="Times New Roman"/>
          <w:b/>
          <w:bCs/>
          <w:color w:val="auto"/>
          <w:sz w:val="24"/>
          <w:szCs w:val="24"/>
          <w:highlight w:val="none"/>
        </w:rPr>
      </w:pPr>
      <w:bookmarkStart w:id="137" w:name="_Toc279701241"/>
      <w:bookmarkStart w:id="138" w:name="_Toc259093670"/>
      <w:bookmarkStart w:id="139" w:name="_Toc27635"/>
      <w:bookmarkStart w:id="140" w:name="_Toc487900350"/>
      <w:bookmarkStart w:id="141" w:name="_Toc32504"/>
      <w:bookmarkStart w:id="142" w:name="_Toc13336"/>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7"/>
      <w:bookmarkEnd w:id="138"/>
      <w:bookmarkEnd w:id="139"/>
      <w:bookmarkEnd w:id="140"/>
      <w:bookmarkEnd w:id="141"/>
      <w:bookmarkEnd w:id="142"/>
    </w:p>
    <w:p w14:paraId="6C34C7EE">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14:paraId="7DB051E8">
      <w:pPr>
        <w:spacing w:line="360" w:lineRule="auto"/>
        <w:ind w:firstLine="482" w:firstLineChars="200"/>
        <w:rPr>
          <w:rFonts w:ascii="仿宋" w:hAnsi="仿宋" w:eastAsia="仿宋" w:cs="Times New Roman"/>
          <w:b/>
          <w:bCs/>
          <w:color w:val="auto"/>
          <w:sz w:val="24"/>
          <w:szCs w:val="24"/>
          <w:highlight w:val="none"/>
        </w:rPr>
      </w:pPr>
      <w:bookmarkStart w:id="143" w:name="_Toc27853"/>
      <w:bookmarkStart w:id="144" w:name="_Toc31634"/>
      <w:bookmarkStart w:id="145" w:name="_Toc259093671"/>
      <w:bookmarkStart w:id="146" w:name="_Toc9829"/>
      <w:bookmarkStart w:id="147" w:name="_Toc279701242"/>
      <w:bookmarkStart w:id="148" w:name="_Toc487900351"/>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43"/>
      <w:bookmarkEnd w:id="144"/>
      <w:bookmarkEnd w:id="145"/>
      <w:bookmarkEnd w:id="146"/>
      <w:bookmarkEnd w:id="147"/>
      <w:bookmarkEnd w:id="148"/>
    </w:p>
    <w:p w14:paraId="3634257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14:paraId="210B3BC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2.3.2具有知识产权的计算机软件等货物的知识产权归属，</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1C54116E">
      <w:pPr>
        <w:spacing w:line="360" w:lineRule="auto"/>
        <w:ind w:firstLine="482" w:firstLineChars="200"/>
        <w:rPr>
          <w:rFonts w:ascii="仿宋" w:hAnsi="仿宋" w:eastAsia="仿宋" w:cs="Times New Roman"/>
          <w:b/>
          <w:bCs/>
          <w:color w:val="auto"/>
          <w:sz w:val="24"/>
          <w:szCs w:val="24"/>
          <w:highlight w:val="none"/>
        </w:rPr>
      </w:pPr>
      <w:bookmarkStart w:id="149" w:name="_Toc11932"/>
      <w:bookmarkStart w:id="150" w:name="_Toc4194"/>
      <w:bookmarkStart w:id="151" w:name="_Toc29149"/>
      <w:r>
        <w:rPr>
          <w:rFonts w:hint="eastAsia" w:ascii="仿宋" w:hAnsi="仿宋" w:eastAsia="仿宋" w:cs="Times New Roman"/>
          <w:b/>
          <w:bCs/>
          <w:color w:val="auto"/>
          <w:sz w:val="24"/>
          <w:szCs w:val="24"/>
          <w:highlight w:val="none"/>
        </w:rPr>
        <w:t>2.4 包装和装运</w:t>
      </w:r>
      <w:bookmarkEnd w:id="149"/>
      <w:bookmarkEnd w:id="150"/>
      <w:bookmarkEnd w:id="151"/>
    </w:p>
    <w:p w14:paraId="28D8A6C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2.4.1除</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E59484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装运货物的要求和通知，详见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w:t>
      </w:r>
    </w:p>
    <w:p w14:paraId="30DCE095">
      <w:pPr>
        <w:spacing w:line="360" w:lineRule="auto"/>
        <w:ind w:firstLine="482" w:firstLineChars="200"/>
        <w:rPr>
          <w:rFonts w:ascii="仿宋" w:hAnsi="仿宋" w:eastAsia="仿宋" w:cs="Times New Roman"/>
          <w:b/>
          <w:bCs/>
          <w:color w:val="auto"/>
          <w:sz w:val="24"/>
          <w:szCs w:val="24"/>
          <w:highlight w:val="none"/>
        </w:rPr>
      </w:pPr>
      <w:bookmarkStart w:id="152" w:name="_Toc487900354"/>
      <w:bookmarkStart w:id="153" w:name="_Ref467379536"/>
      <w:bookmarkStart w:id="154" w:name="_Ref467378591"/>
      <w:bookmarkStart w:id="155" w:name="_Ref467379542"/>
      <w:bookmarkStart w:id="156" w:name="_Toc279701245"/>
      <w:bookmarkStart w:id="157" w:name="_Ref467379527"/>
      <w:bookmarkStart w:id="158" w:name="_Ref467378541"/>
      <w:bookmarkStart w:id="159" w:name="_Toc259093674"/>
      <w:bookmarkStart w:id="160" w:name="_Toc30272"/>
      <w:bookmarkStart w:id="161" w:name="_Toc26182"/>
      <w:bookmarkStart w:id="162" w:name="_Toc19074"/>
      <w:r>
        <w:rPr>
          <w:rFonts w:hint="eastAsia" w:ascii="仿宋" w:hAnsi="仿宋" w:eastAsia="仿宋" w:cs="Times New Roman"/>
          <w:b/>
          <w:bCs/>
          <w:color w:val="auto"/>
          <w:sz w:val="24"/>
          <w:szCs w:val="24"/>
          <w:highlight w:val="none"/>
        </w:rPr>
        <w:t>2.</w:t>
      </w:r>
      <w:bookmarkEnd w:id="152"/>
      <w:bookmarkEnd w:id="153"/>
      <w:bookmarkEnd w:id="154"/>
      <w:bookmarkEnd w:id="155"/>
      <w:bookmarkEnd w:id="156"/>
      <w:bookmarkEnd w:id="157"/>
      <w:bookmarkEnd w:id="158"/>
      <w:bookmarkEnd w:id="159"/>
      <w:r>
        <w:rPr>
          <w:rFonts w:hint="eastAsia" w:ascii="仿宋" w:hAnsi="仿宋" w:eastAsia="仿宋" w:cs="Times New Roman"/>
          <w:b/>
          <w:bCs/>
          <w:color w:val="auto"/>
          <w:sz w:val="24"/>
          <w:szCs w:val="24"/>
          <w:highlight w:val="none"/>
        </w:rPr>
        <w:t>5 履约检查和问题反馈</w:t>
      </w:r>
      <w:bookmarkEnd w:id="160"/>
      <w:bookmarkEnd w:id="161"/>
      <w:bookmarkEnd w:id="162"/>
    </w:p>
    <w:p w14:paraId="6495D9F1">
      <w:pPr>
        <w:spacing w:line="560" w:lineRule="exact"/>
        <w:ind w:firstLine="480" w:firstLineChars="200"/>
        <w:rPr>
          <w:rFonts w:ascii="仿宋" w:hAnsi="仿宋" w:eastAsia="仿宋" w:cs="Times New Roman"/>
          <w:color w:val="auto"/>
          <w:sz w:val="24"/>
          <w:szCs w:val="24"/>
          <w:highlight w:val="none"/>
        </w:rPr>
      </w:pPr>
      <w:bookmarkStart w:id="163" w:name="_Ref467379657"/>
      <w:r>
        <w:rPr>
          <w:rFonts w:hint="eastAsia" w:ascii="仿宋" w:hAnsi="仿宋" w:eastAsia="仿宋" w:cs="Times New Roman"/>
          <w:color w:val="auto"/>
          <w:sz w:val="24"/>
          <w:szCs w:val="24"/>
          <w:highlight w:val="none"/>
        </w:rPr>
        <w:t>2.5</w:t>
      </w:r>
      <w:r>
        <w:rPr>
          <w:rFonts w:ascii="仿宋" w:hAnsi="仿宋" w:eastAsia="仿宋" w:cs="Times New Roman"/>
          <w:color w:val="auto"/>
          <w:sz w:val="24"/>
          <w:szCs w:val="24"/>
          <w:highlight w:val="none"/>
        </w:rPr>
        <w:t>.1</w:t>
      </w:r>
      <w:bookmarkEnd w:id="163"/>
      <w:bookmarkStart w:id="164" w:name="_Toc186431854"/>
      <w:bookmarkStart w:id="165" w:name="_Toc259093676"/>
      <w:bookmarkStart w:id="166" w:name="_Ref467379807"/>
      <w:bookmarkStart w:id="167" w:name="_Ref467379793"/>
      <w:bookmarkStart w:id="168" w:name="_Toc279701247"/>
      <w:bookmarkStart w:id="169" w:name="_Toc487900357"/>
      <w:r>
        <w:rPr>
          <w:rFonts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，对乙方是否能够按照合同约定交付货物进行履约检查，以确保乙方所交付的货物能够依约满足甲方之项目需求，但不得因履约检查妨碍乙方的正常工作，乙方应予积极配合；</w:t>
      </w:r>
    </w:p>
    <w:p w14:paraId="6BF984D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2.5.2 合同履行期间，甲方有权将履行过程中出现的问题反馈给乙方，双方当事人应以书面形式约定需要完善和改进的内容</w:t>
      </w:r>
      <w:bookmarkEnd w:id="164"/>
      <w:bookmarkStart w:id="170" w:name="_Toc186431855"/>
      <w:r>
        <w:rPr>
          <w:rFonts w:hint="eastAsia" w:ascii="仿宋" w:hAnsi="仿宋" w:eastAsia="仿宋" w:cs="Times New Roman"/>
          <w:color w:val="auto"/>
          <w:sz w:val="24"/>
          <w:szCs w:val="24"/>
          <w:highlight w:val="none"/>
        </w:rPr>
        <w:t>。</w:t>
      </w:r>
    </w:p>
    <w:bookmarkEnd w:id="170"/>
    <w:p w14:paraId="7069813D">
      <w:pPr>
        <w:spacing w:line="360" w:lineRule="auto"/>
        <w:ind w:firstLine="482" w:firstLineChars="200"/>
        <w:rPr>
          <w:rFonts w:ascii="仿宋" w:hAnsi="仿宋" w:eastAsia="仿宋" w:cs="Times New Roman"/>
          <w:b/>
          <w:bCs/>
          <w:color w:val="auto"/>
          <w:sz w:val="24"/>
          <w:szCs w:val="24"/>
          <w:highlight w:val="none"/>
        </w:rPr>
      </w:pPr>
      <w:bookmarkStart w:id="171" w:name="_Toc19219"/>
      <w:bookmarkStart w:id="172" w:name="_Toc28451"/>
      <w:bookmarkStart w:id="173" w:name="_Toc7836"/>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结算方式和付款条件</w:t>
      </w:r>
      <w:bookmarkEnd w:id="165"/>
      <w:bookmarkEnd w:id="166"/>
      <w:bookmarkEnd w:id="167"/>
      <w:bookmarkEnd w:id="168"/>
      <w:bookmarkEnd w:id="169"/>
      <w:bookmarkEnd w:id="171"/>
      <w:bookmarkEnd w:id="172"/>
      <w:bookmarkEnd w:id="173"/>
    </w:p>
    <w:p w14:paraId="70F8914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6BC16A71">
      <w:pPr>
        <w:spacing w:line="360" w:lineRule="auto"/>
        <w:ind w:firstLine="482" w:firstLineChars="200"/>
        <w:rPr>
          <w:rFonts w:ascii="仿宋" w:hAnsi="仿宋" w:eastAsia="仿宋" w:cs="Times New Roman"/>
          <w:b/>
          <w:bCs/>
          <w:color w:val="auto"/>
          <w:sz w:val="24"/>
          <w:szCs w:val="24"/>
          <w:highlight w:val="none"/>
        </w:rPr>
      </w:pPr>
      <w:bookmarkStart w:id="174" w:name="_Ref467379923"/>
      <w:bookmarkStart w:id="175" w:name="_Toc487900358"/>
      <w:bookmarkStart w:id="176" w:name="_Ref467379863"/>
      <w:bookmarkStart w:id="177" w:name="_Toc259093677"/>
      <w:bookmarkStart w:id="178" w:name="_Toc279701248"/>
      <w:bookmarkStart w:id="179" w:name="_Ref467379852"/>
      <w:bookmarkStart w:id="180" w:name="_Toc16110"/>
      <w:bookmarkStart w:id="181" w:name="_Toc774"/>
      <w:bookmarkStart w:id="182" w:name="_Toc3225"/>
      <w:r>
        <w:rPr>
          <w:rFonts w:hint="eastAsia" w:ascii="仿宋" w:hAnsi="仿宋" w:eastAsia="仿宋" w:cs="Times New Roman"/>
          <w:b/>
          <w:bCs/>
          <w:color w:val="auto"/>
          <w:sz w:val="24"/>
          <w:szCs w:val="24"/>
          <w:highlight w:val="none"/>
        </w:rPr>
        <w:t xml:space="preserve">2.7 </w:t>
      </w:r>
      <w:r>
        <w:rPr>
          <w:rFonts w:ascii="仿宋" w:hAnsi="仿宋" w:eastAsia="仿宋" w:cs="Times New Roman"/>
          <w:b/>
          <w:bCs/>
          <w:color w:val="auto"/>
          <w:sz w:val="24"/>
          <w:szCs w:val="24"/>
          <w:highlight w:val="none"/>
        </w:rPr>
        <w:t>技术资料</w:t>
      </w:r>
      <w:bookmarkEnd w:id="174"/>
      <w:bookmarkEnd w:id="175"/>
      <w:bookmarkEnd w:id="176"/>
      <w:bookmarkEnd w:id="177"/>
      <w:bookmarkEnd w:id="178"/>
      <w:bookmarkEnd w:id="179"/>
      <w:r>
        <w:rPr>
          <w:rFonts w:ascii="仿宋" w:hAnsi="仿宋" w:eastAsia="仿宋" w:cs="Times New Roman"/>
          <w:b/>
          <w:bCs/>
          <w:color w:val="auto"/>
          <w:sz w:val="24"/>
          <w:szCs w:val="24"/>
          <w:highlight w:val="none"/>
        </w:rPr>
        <w:t>和保密义务</w:t>
      </w:r>
      <w:bookmarkEnd w:id="180"/>
      <w:bookmarkEnd w:id="181"/>
      <w:bookmarkEnd w:id="182"/>
    </w:p>
    <w:p w14:paraId="3B89FC7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14:paraId="3989330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乙方有义务妥善保管和保护由甲方提供的前款信息和资料等；</w:t>
      </w:r>
    </w:p>
    <w:p w14:paraId="520F21AE">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bookmarkStart w:id="183" w:name="_Toc7860"/>
    </w:p>
    <w:p w14:paraId="4B24BEC0">
      <w:pPr>
        <w:spacing w:line="360" w:lineRule="auto"/>
        <w:ind w:firstLine="482" w:firstLineChars="200"/>
        <w:rPr>
          <w:rFonts w:ascii="仿宋" w:hAnsi="仿宋" w:eastAsia="仿宋" w:cs="Times New Roman"/>
          <w:b/>
          <w:bCs/>
          <w:color w:val="auto"/>
          <w:sz w:val="24"/>
          <w:szCs w:val="24"/>
          <w:highlight w:val="none"/>
        </w:rPr>
      </w:pPr>
    </w:p>
    <w:p w14:paraId="0704EE84">
      <w:pPr>
        <w:spacing w:line="360" w:lineRule="auto"/>
        <w:ind w:firstLine="482" w:firstLineChars="200"/>
        <w:rPr>
          <w:rFonts w:ascii="仿宋" w:hAnsi="仿宋" w:eastAsia="仿宋" w:cs="Times New Roman"/>
          <w:b/>
          <w:bCs/>
          <w:color w:val="auto"/>
          <w:sz w:val="24"/>
          <w:szCs w:val="24"/>
          <w:highlight w:val="none"/>
        </w:rPr>
      </w:pPr>
      <w:r>
        <w:rPr>
          <w:rFonts w:ascii="仿宋" w:hAnsi="仿宋" w:eastAsia="仿宋" w:cs="Times New Roman"/>
          <w:b/>
          <w:bCs/>
          <w:color w:val="auto"/>
          <w:sz w:val="24"/>
          <w:szCs w:val="24"/>
          <w:highlight w:val="none"/>
        </w:rPr>
        <w:t>2.8 质量保证</w:t>
      </w:r>
      <w:bookmarkEnd w:id="183"/>
    </w:p>
    <w:p w14:paraId="1BA2649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2.8.1 乙方应建立和完善履行合同的内部质量保证体系，并提供相关内部规章制度给甲方，以便甲方进行监督检查；</w:t>
      </w:r>
    </w:p>
    <w:p w14:paraId="1799060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2.8.2 乙方应保证履行合同的人员数量和素质、软件和硬件设备的配置、场地、环境和设施等满足全面履行合同的要求，并应接受甲方的监督检查。</w:t>
      </w:r>
    </w:p>
    <w:p w14:paraId="77C87E1E">
      <w:pPr>
        <w:spacing w:line="360" w:lineRule="auto"/>
        <w:ind w:firstLine="482" w:firstLineChars="200"/>
        <w:rPr>
          <w:rFonts w:ascii="仿宋" w:hAnsi="仿宋" w:eastAsia="仿宋" w:cs="Times New Roman"/>
          <w:b/>
          <w:bCs/>
          <w:color w:val="auto"/>
          <w:sz w:val="24"/>
          <w:szCs w:val="24"/>
          <w:highlight w:val="none"/>
        </w:rPr>
      </w:pPr>
      <w:bookmarkStart w:id="184" w:name="_Toc17244"/>
      <w:bookmarkStart w:id="185" w:name="_Toc487900362"/>
      <w:bookmarkStart w:id="186" w:name="_Toc279701252"/>
      <w:bookmarkStart w:id="187" w:name="_Toc259093681"/>
      <w:r>
        <w:rPr>
          <w:rFonts w:ascii="仿宋" w:hAnsi="仿宋" w:eastAsia="仿宋" w:cs="Times New Roman"/>
          <w:b/>
          <w:bCs/>
          <w:color w:val="auto"/>
          <w:sz w:val="24"/>
          <w:szCs w:val="24"/>
          <w:highlight w:val="none"/>
        </w:rPr>
        <w:t>2.9 货物的风险负担</w:t>
      </w:r>
      <w:bookmarkEnd w:id="184"/>
    </w:p>
    <w:p w14:paraId="524D14F1">
      <w:pPr>
        <w:spacing w:line="560" w:lineRule="exact"/>
        <w:ind w:firstLine="480" w:firstLineChars="200"/>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货物或者在途货物或者交付给第一承运人后的货物毁损、灭失的风险负担</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69122135">
      <w:pPr>
        <w:spacing w:line="360" w:lineRule="auto"/>
        <w:ind w:firstLine="482" w:firstLineChars="200"/>
        <w:rPr>
          <w:rFonts w:ascii="仿宋" w:hAnsi="仿宋" w:eastAsia="仿宋" w:cs="Times New Roman"/>
          <w:b/>
          <w:bCs/>
          <w:color w:val="auto"/>
          <w:sz w:val="24"/>
          <w:szCs w:val="24"/>
          <w:highlight w:val="none"/>
        </w:rPr>
      </w:pPr>
      <w:bookmarkStart w:id="188" w:name="_Toc14055"/>
      <w:r>
        <w:rPr>
          <w:rFonts w:ascii="仿宋" w:hAnsi="仿宋" w:eastAsia="仿宋" w:cs="Times New Roman"/>
          <w:b/>
          <w:bCs/>
          <w:color w:val="auto"/>
          <w:sz w:val="24"/>
          <w:szCs w:val="24"/>
          <w:highlight w:val="none"/>
        </w:rPr>
        <w:t>2.10 延迟交货</w:t>
      </w:r>
      <w:bookmarkEnd w:id="185"/>
      <w:bookmarkEnd w:id="186"/>
      <w:bookmarkEnd w:id="187"/>
      <w:bookmarkEnd w:id="188"/>
    </w:p>
    <w:p w14:paraId="4F75898F">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在合同履行过程中，如果乙方遇到不能按时交付货物的情况，应及时以书面形式将不能按时</w:t>
      </w:r>
      <w:r>
        <w:rPr>
          <w:rFonts w:hint="eastAsia" w:ascii="仿宋" w:hAnsi="仿宋" w:eastAsia="仿宋" w:cs="Times New Roman"/>
          <w:color w:val="auto"/>
          <w:sz w:val="24"/>
          <w:szCs w:val="24"/>
          <w:highlight w:val="none"/>
        </w:rPr>
        <w:t>交付货物</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方收到乙方通知后，认为其理由正当的，可以书面形式酌情同意乙方可以延长交货的具体时间。</w:t>
      </w:r>
    </w:p>
    <w:p w14:paraId="7BCAC028">
      <w:pPr>
        <w:spacing w:line="360" w:lineRule="auto"/>
        <w:ind w:firstLine="482" w:firstLineChars="200"/>
        <w:rPr>
          <w:rFonts w:ascii="仿宋" w:hAnsi="仿宋" w:eastAsia="仿宋" w:cs="Times New Roman"/>
          <w:b/>
          <w:bCs/>
          <w:color w:val="auto"/>
          <w:sz w:val="24"/>
          <w:szCs w:val="24"/>
          <w:highlight w:val="none"/>
        </w:rPr>
      </w:pPr>
      <w:bookmarkStart w:id="189" w:name="_Toc7502"/>
      <w:r>
        <w:rPr>
          <w:rFonts w:ascii="仿宋" w:hAnsi="仿宋" w:eastAsia="仿宋" w:cs="Times New Roman"/>
          <w:b/>
          <w:bCs/>
          <w:color w:val="auto"/>
          <w:sz w:val="24"/>
          <w:szCs w:val="24"/>
          <w:highlight w:val="none"/>
        </w:rPr>
        <w:t>2.11 合同变更</w:t>
      </w:r>
      <w:bookmarkEnd w:id="189"/>
    </w:p>
    <w:p w14:paraId="09273BD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14A1DAA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90" w:name="_Toc279701259"/>
      <w:bookmarkStart w:id="191" w:name="_Toc259093688"/>
      <w:bookmarkStart w:id="192" w:name="_Toc487900369"/>
    </w:p>
    <w:p w14:paraId="60BAFE2A">
      <w:pPr>
        <w:spacing w:line="360" w:lineRule="auto"/>
        <w:ind w:firstLine="482" w:firstLineChars="200"/>
        <w:rPr>
          <w:rFonts w:ascii="仿宋" w:hAnsi="仿宋" w:eastAsia="仿宋" w:cs="Times New Roman"/>
          <w:b/>
          <w:bCs/>
          <w:color w:val="auto"/>
          <w:sz w:val="24"/>
          <w:szCs w:val="24"/>
          <w:highlight w:val="none"/>
        </w:rPr>
      </w:pPr>
      <w:bookmarkStart w:id="193" w:name="_Toc22955"/>
      <w:bookmarkStart w:id="194" w:name="_Toc15237"/>
      <w:bookmarkStart w:id="195" w:name="_Toc10366"/>
      <w:r>
        <w:rPr>
          <w:rFonts w:hint="eastAsia" w:ascii="仿宋" w:hAnsi="仿宋" w:eastAsia="仿宋" w:cs="Times New Roman"/>
          <w:b/>
          <w:bCs/>
          <w:color w:val="auto"/>
          <w:sz w:val="24"/>
          <w:szCs w:val="24"/>
          <w:highlight w:val="none"/>
        </w:rPr>
        <w:t xml:space="preserve">2.12 </w:t>
      </w:r>
      <w:r>
        <w:rPr>
          <w:rFonts w:ascii="仿宋" w:hAnsi="仿宋" w:eastAsia="仿宋" w:cs="Times New Roman"/>
          <w:b/>
          <w:bCs/>
          <w:color w:val="auto"/>
          <w:sz w:val="24"/>
          <w:szCs w:val="24"/>
          <w:highlight w:val="none"/>
        </w:rPr>
        <w:t>合同转让</w:t>
      </w:r>
      <w:bookmarkEnd w:id="190"/>
      <w:bookmarkEnd w:id="191"/>
      <w:bookmarkEnd w:id="192"/>
      <w:r>
        <w:rPr>
          <w:rFonts w:ascii="仿宋" w:hAnsi="仿宋" w:eastAsia="仿宋" w:cs="Times New Roman"/>
          <w:b/>
          <w:bCs/>
          <w:color w:val="auto"/>
          <w:sz w:val="24"/>
          <w:szCs w:val="24"/>
          <w:highlight w:val="none"/>
        </w:rPr>
        <w:t>和分包</w:t>
      </w:r>
      <w:bookmarkEnd w:id="193"/>
      <w:bookmarkEnd w:id="194"/>
      <w:bookmarkEnd w:id="195"/>
    </w:p>
    <w:p w14:paraId="35DAA56A">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14:paraId="0B5DA307">
      <w:pPr>
        <w:spacing w:line="560" w:lineRule="exact"/>
        <w:ind w:firstLine="482" w:firstLineChars="200"/>
        <w:rPr>
          <w:rFonts w:ascii="仿宋" w:hAnsi="仿宋" w:eastAsia="仿宋" w:cs="Times New Roman"/>
          <w:b/>
          <w:bCs/>
          <w:color w:val="auto"/>
          <w:sz w:val="24"/>
          <w:szCs w:val="24"/>
          <w:highlight w:val="none"/>
        </w:rPr>
      </w:pPr>
      <w:bookmarkStart w:id="196" w:name="_Toc14066"/>
      <w:bookmarkStart w:id="197" w:name="_Toc16508"/>
      <w:bookmarkStart w:id="198" w:name="_Toc13566"/>
      <w:r>
        <w:rPr>
          <w:rFonts w:hint="eastAsia" w:ascii="仿宋" w:hAnsi="仿宋" w:eastAsia="仿宋" w:cs="Times New Roman"/>
          <w:b/>
          <w:bCs/>
          <w:color w:val="auto"/>
          <w:sz w:val="24"/>
          <w:szCs w:val="24"/>
          <w:highlight w:val="none"/>
        </w:rPr>
        <w:t>2.13</w:t>
      </w:r>
      <w:r>
        <w:rPr>
          <w:rFonts w:ascii="仿宋" w:hAnsi="仿宋" w:eastAsia="仿宋" w:cs="Times New Roman"/>
          <w:b/>
          <w:bCs/>
          <w:color w:val="auto"/>
          <w:sz w:val="24"/>
          <w:szCs w:val="24"/>
          <w:highlight w:val="none"/>
        </w:rPr>
        <w:t xml:space="preserve"> 不可抗力</w:t>
      </w:r>
      <w:bookmarkEnd w:id="196"/>
      <w:bookmarkEnd w:id="197"/>
      <w:bookmarkEnd w:id="198"/>
    </w:p>
    <w:p w14:paraId="7650154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14:paraId="64987C7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2.13.2 因不可抗力致使不能实现合同目的的，当事人可以解除合同；</w:t>
      </w:r>
    </w:p>
    <w:p w14:paraId="26BBAF0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14:paraId="06259FA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14:paraId="51616818">
      <w:pPr>
        <w:spacing w:line="360" w:lineRule="auto"/>
        <w:ind w:firstLine="482" w:firstLineChars="200"/>
        <w:rPr>
          <w:rFonts w:ascii="仿宋" w:hAnsi="仿宋" w:eastAsia="仿宋" w:cs="Times New Roman"/>
          <w:b/>
          <w:bCs/>
          <w:color w:val="auto"/>
          <w:sz w:val="24"/>
          <w:szCs w:val="24"/>
          <w:highlight w:val="none"/>
        </w:rPr>
      </w:pPr>
      <w:bookmarkStart w:id="199" w:name="_Toc259093684"/>
      <w:bookmarkStart w:id="200" w:name="_Toc30676"/>
      <w:bookmarkStart w:id="201" w:name="_Toc487900365"/>
      <w:bookmarkStart w:id="202" w:name="_Toc279701255"/>
      <w:bookmarkStart w:id="203" w:name="_Toc6969"/>
      <w:bookmarkStart w:id="204" w:name="_Toc68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4 </w:t>
      </w:r>
      <w:r>
        <w:rPr>
          <w:rFonts w:ascii="仿宋" w:hAnsi="仿宋" w:eastAsia="仿宋" w:cs="Times New Roman"/>
          <w:b/>
          <w:bCs/>
          <w:color w:val="auto"/>
          <w:sz w:val="24"/>
          <w:szCs w:val="24"/>
          <w:highlight w:val="none"/>
        </w:rPr>
        <w:t>税费</w:t>
      </w:r>
      <w:bookmarkEnd w:id="199"/>
      <w:bookmarkEnd w:id="200"/>
      <w:bookmarkEnd w:id="201"/>
      <w:bookmarkEnd w:id="202"/>
      <w:bookmarkEnd w:id="203"/>
      <w:bookmarkEnd w:id="204"/>
    </w:p>
    <w:p w14:paraId="11F6970B">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w:t>
      </w:r>
    </w:p>
    <w:p w14:paraId="73C37E93">
      <w:pPr>
        <w:spacing w:line="360" w:lineRule="auto"/>
        <w:ind w:firstLine="482" w:firstLineChars="200"/>
        <w:rPr>
          <w:rFonts w:ascii="仿宋" w:hAnsi="仿宋" w:eastAsia="仿宋" w:cs="Times New Roman"/>
          <w:b/>
          <w:bCs/>
          <w:color w:val="auto"/>
          <w:sz w:val="24"/>
          <w:szCs w:val="24"/>
          <w:highlight w:val="none"/>
        </w:rPr>
      </w:pPr>
      <w:bookmarkStart w:id="205" w:name="_Toc259093687"/>
      <w:bookmarkStart w:id="206" w:name="_Toc279701258"/>
      <w:bookmarkStart w:id="207" w:name="_Toc7102"/>
      <w:bookmarkStart w:id="208" w:name="_Toc8298"/>
      <w:bookmarkStart w:id="209" w:name="_Toc487900368"/>
      <w:bookmarkStart w:id="210" w:name="_Toc1695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5 </w:t>
      </w:r>
      <w:r>
        <w:rPr>
          <w:rFonts w:ascii="仿宋" w:hAnsi="仿宋" w:eastAsia="仿宋" w:cs="Times New Roman"/>
          <w:b/>
          <w:bCs/>
          <w:color w:val="auto"/>
          <w:sz w:val="24"/>
          <w:szCs w:val="24"/>
          <w:highlight w:val="none"/>
        </w:rPr>
        <w:t>乙方破产</w:t>
      </w:r>
      <w:bookmarkEnd w:id="205"/>
      <w:bookmarkEnd w:id="206"/>
      <w:bookmarkEnd w:id="207"/>
      <w:bookmarkEnd w:id="208"/>
      <w:bookmarkEnd w:id="209"/>
      <w:bookmarkEnd w:id="210"/>
    </w:p>
    <w:p w14:paraId="05AC157B">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14:paraId="2DBAA995">
      <w:pPr>
        <w:spacing w:line="360" w:lineRule="auto"/>
        <w:ind w:firstLine="482" w:firstLineChars="200"/>
        <w:rPr>
          <w:rFonts w:ascii="仿宋" w:hAnsi="仿宋" w:eastAsia="仿宋" w:cs="Times New Roman"/>
          <w:b/>
          <w:bCs/>
          <w:color w:val="auto"/>
          <w:sz w:val="24"/>
          <w:szCs w:val="24"/>
          <w:highlight w:val="none"/>
        </w:rPr>
      </w:pPr>
      <w:bookmarkStart w:id="211" w:name="_Toc6134"/>
      <w:bookmarkStart w:id="212" w:name="_Toc29333"/>
      <w:bookmarkStart w:id="213" w:name="_Toc15387"/>
      <w:r>
        <w:rPr>
          <w:rFonts w:hint="eastAsia" w:ascii="仿宋" w:hAnsi="仿宋" w:eastAsia="仿宋" w:cs="Times New Roman"/>
          <w:b/>
          <w:bCs/>
          <w:color w:val="auto"/>
          <w:sz w:val="24"/>
          <w:szCs w:val="24"/>
          <w:highlight w:val="none"/>
        </w:rPr>
        <w:t>2.16 合同中止、终止</w:t>
      </w:r>
      <w:bookmarkEnd w:id="211"/>
      <w:bookmarkEnd w:id="212"/>
      <w:bookmarkEnd w:id="213"/>
    </w:p>
    <w:p w14:paraId="0604901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2.16.1 双方当事人不得擅自中止或者终止合同；</w:t>
      </w:r>
    </w:p>
    <w:p w14:paraId="3BC149A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015E8F7B">
      <w:pPr>
        <w:spacing w:line="360" w:lineRule="auto"/>
        <w:ind w:firstLine="482" w:firstLineChars="200"/>
        <w:rPr>
          <w:rFonts w:ascii="仿宋" w:hAnsi="仿宋" w:eastAsia="仿宋" w:cs="Times New Roman"/>
          <w:b/>
          <w:bCs/>
          <w:color w:val="auto"/>
          <w:sz w:val="24"/>
          <w:szCs w:val="24"/>
          <w:highlight w:val="none"/>
        </w:rPr>
      </w:pPr>
      <w:bookmarkStart w:id="214" w:name="_Toc1125"/>
      <w:bookmarkStart w:id="215" w:name="_Toc6596"/>
      <w:bookmarkStart w:id="216" w:name="_Toc14563"/>
      <w:r>
        <w:rPr>
          <w:rFonts w:hint="eastAsia" w:ascii="仿宋" w:hAnsi="仿宋" w:eastAsia="仿宋" w:cs="Times New Roman"/>
          <w:b/>
          <w:bCs/>
          <w:color w:val="auto"/>
          <w:sz w:val="24"/>
          <w:szCs w:val="24"/>
          <w:highlight w:val="none"/>
        </w:rPr>
        <w:t>2.17 检验和验收</w:t>
      </w:r>
      <w:bookmarkEnd w:id="214"/>
      <w:bookmarkEnd w:id="215"/>
      <w:bookmarkEnd w:id="216"/>
    </w:p>
    <w:p w14:paraId="06C7C812">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约定时间内组织验收，并可依法邀请相关方参加，验收应出具验收书。</w:t>
      </w:r>
    </w:p>
    <w:p w14:paraId="5226073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36533EB">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p w14:paraId="598463FC">
      <w:pPr>
        <w:spacing w:line="360" w:lineRule="auto"/>
        <w:ind w:firstLine="482" w:firstLineChars="200"/>
        <w:rPr>
          <w:rFonts w:ascii="仿宋" w:hAnsi="仿宋" w:eastAsia="仿宋" w:cs="Times New Roman"/>
          <w:b/>
          <w:bCs/>
          <w:color w:val="auto"/>
          <w:sz w:val="24"/>
          <w:szCs w:val="24"/>
          <w:highlight w:val="none"/>
        </w:rPr>
      </w:pPr>
      <w:bookmarkStart w:id="217" w:name="_Toc487900371"/>
      <w:bookmarkStart w:id="218" w:name="_Toc259093690"/>
      <w:bookmarkStart w:id="219" w:name="_Toc279701261"/>
      <w:bookmarkStart w:id="220" w:name="_Toc25182"/>
      <w:bookmarkStart w:id="221" w:name="_Toc19604"/>
      <w:bookmarkStart w:id="222" w:name="_Toc11284"/>
      <w:r>
        <w:rPr>
          <w:rFonts w:hint="eastAsia" w:ascii="仿宋" w:hAnsi="仿宋" w:eastAsia="仿宋" w:cs="Times New Roman"/>
          <w:b/>
          <w:bCs/>
          <w:color w:val="auto"/>
          <w:sz w:val="24"/>
          <w:szCs w:val="24"/>
          <w:highlight w:val="none"/>
        </w:rPr>
        <w:t xml:space="preserve">2.18 </w:t>
      </w:r>
      <w:r>
        <w:rPr>
          <w:rFonts w:ascii="仿宋" w:hAnsi="仿宋" w:eastAsia="仿宋" w:cs="Times New Roman"/>
          <w:b/>
          <w:bCs/>
          <w:color w:val="auto"/>
          <w:sz w:val="24"/>
          <w:szCs w:val="24"/>
          <w:highlight w:val="none"/>
        </w:rPr>
        <w:t>通知</w:t>
      </w:r>
      <w:bookmarkEnd w:id="217"/>
      <w:bookmarkEnd w:id="218"/>
      <w:bookmarkEnd w:id="219"/>
      <w:r>
        <w:rPr>
          <w:rFonts w:ascii="仿宋" w:hAnsi="仿宋" w:eastAsia="仿宋" w:cs="Times New Roman"/>
          <w:b/>
          <w:bCs/>
          <w:color w:val="auto"/>
          <w:sz w:val="24"/>
          <w:szCs w:val="24"/>
          <w:highlight w:val="none"/>
        </w:rPr>
        <w:t>和送达</w:t>
      </w:r>
      <w:bookmarkEnd w:id="220"/>
      <w:bookmarkEnd w:id="221"/>
      <w:bookmarkEnd w:id="222"/>
    </w:p>
    <w:p w14:paraId="6C35C824">
      <w:pPr>
        <w:spacing w:line="560" w:lineRule="exact"/>
        <w:ind w:firstLine="480" w:firstLineChars="200"/>
        <w:rPr>
          <w:rFonts w:ascii="仿宋" w:hAnsi="仿宋" w:eastAsia="仿宋" w:cs="Times New Roman"/>
          <w:color w:val="auto"/>
          <w:sz w:val="24"/>
          <w:szCs w:val="24"/>
          <w:highlight w:val="none"/>
        </w:rPr>
      </w:pPr>
      <w:bookmarkStart w:id="223" w:name="_Toc3135"/>
      <w:bookmarkStart w:id="224" w:name="_Toc6698"/>
      <w:bookmarkStart w:id="225" w:name="_Toc279701262"/>
      <w:bookmarkStart w:id="226" w:name="_Toc259093691"/>
      <w:bookmarkStart w:id="227" w:name="_Toc487900372"/>
      <w:r>
        <w:rPr>
          <w:rFonts w:hint="eastAsia" w:ascii="仿宋" w:hAnsi="仿宋" w:eastAsia="仿宋" w:cs="Times New Roman"/>
          <w:color w:val="auto"/>
          <w:sz w:val="24"/>
          <w:szCs w:val="24"/>
          <w:highlight w:val="none"/>
        </w:rPr>
        <w:t>2.18.1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223"/>
      <w:bookmarkEnd w:id="224"/>
    </w:p>
    <w:p w14:paraId="3FA8AE67">
      <w:pPr>
        <w:spacing w:line="560" w:lineRule="exact"/>
        <w:ind w:firstLine="480" w:firstLineChars="200"/>
        <w:rPr>
          <w:rFonts w:ascii="仿宋" w:hAnsi="仿宋" w:eastAsia="仿宋" w:cs="Times New Roman"/>
          <w:color w:val="auto"/>
          <w:sz w:val="24"/>
          <w:szCs w:val="24"/>
          <w:highlight w:val="none"/>
        </w:rPr>
      </w:pPr>
      <w:bookmarkStart w:id="228" w:name="_Toc23294"/>
      <w:bookmarkStart w:id="229" w:name="_Toc23128"/>
      <w:r>
        <w:rPr>
          <w:rFonts w:hint="eastAsia" w:ascii="仿宋" w:hAnsi="仿宋" w:eastAsia="仿宋" w:cs="Times New Roman"/>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8"/>
      <w:bookmarkEnd w:id="229"/>
    </w:p>
    <w:p w14:paraId="3B3BDACC">
      <w:pPr>
        <w:spacing w:line="360" w:lineRule="auto"/>
        <w:ind w:firstLine="482" w:firstLineChars="200"/>
        <w:rPr>
          <w:rFonts w:ascii="仿宋" w:hAnsi="仿宋" w:eastAsia="仿宋" w:cs="Times New Roman"/>
          <w:b/>
          <w:bCs/>
          <w:color w:val="auto"/>
          <w:sz w:val="24"/>
          <w:szCs w:val="24"/>
          <w:highlight w:val="none"/>
        </w:rPr>
      </w:pPr>
      <w:bookmarkStart w:id="230" w:name="_Toc4355"/>
      <w:bookmarkStart w:id="231" w:name="_Toc30599"/>
      <w:bookmarkStart w:id="232" w:name="_Toc18540"/>
      <w:r>
        <w:rPr>
          <w:rFonts w:hint="eastAsia" w:ascii="仿宋" w:hAnsi="仿宋" w:eastAsia="仿宋" w:cs="Times New Roman"/>
          <w:b/>
          <w:bCs/>
          <w:color w:val="auto"/>
          <w:sz w:val="24"/>
          <w:szCs w:val="24"/>
          <w:highlight w:val="none"/>
        </w:rPr>
        <w:t xml:space="preserve">2.19 </w:t>
      </w:r>
      <w:r>
        <w:rPr>
          <w:rFonts w:ascii="仿宋" w:hAnsi="仿宋" w:eastAsia="仿宋" w:cs="Times New Roman"/>
          <w:b/>
          <w:bCs/>
          <w:color w:val="auto"/>
          <w:sz w:val="24"/>
          <w:szCs w:val="24"/>
          <w:highlight w:val="none"/>
        </w:rPr>
        <w:t>计量单位</w:t>
      </w:r>
      <w:bookmarkEnd w:id="225"/>
      <w:bookmarkEnd w:id="226"/>
      <w:bookmarkEnd w:id="227"/>
      <w:bookmarkEnd w:id="230"/>
      <w:bookmarkEnd w:id="231"/>
      <w:bookmarkEnd w:id="232"/>
    </w:p>
    <w:p w14:paraId="63E1774C">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除技术规范中另有规定外,合同的计量单位均使用国家法定计量单位。</w:t>
      </w:r>
    </w:p>
    <w:p w14:paraId="108A0E57">
      <w:pPr>
        <w:spacing w:line="360" w:lineRule="auto"/>
        <w:ind w:firstLine="482" w:firstLineChars="200"/>
        <w:rPr>
          <w:rFonts w:ascii="仿宋" w:hAnsi="仿宋" w:eastAsia="仿宋" w:cs="Times New Roman"/>
          <w:b/>
          <w:bCs/>
          <w:color w:val="auto"/>
          <w:sz w:val="24"/>
          <w:szCs w:val="24"/>
          <w:highlight w:val="none"/>
        </w:rPr>
      </w:pPr>
      <w:bookmarkStart w:id="233" w:name="_Toc10330"/>
      <w:bookmarkStart w:id="234" w:name="_Toc12773"/>
      <w:bookmarkStart w:id="235" w:name="_Toc279701263"/>
      <w:bookmarkStart w:id="236" w:name="_Toc487900373"/>
      <w:bookmarkStart w:id="237" w:name="_Toc259093692"/>
      <w:bookmarkStart w:id="238" w:name="_Toc18567"/>
      <w:r>
        <w:rPr>
          <w:rFonts w:hint="eastAsia" w:ascii="仿宋" w:hAnsi="仿宋" w:eastAsia="仿宋" w:cs="Times New Roman"/>
          <w:b/>
          <w:bCs/>
          <w:color w:val="auto"/>
          <w:sz w:val="24"/>
          <w:szCs w:val="24"/>
          <w:highlight w:val="none"/>
        </w:rPr>
        <w:t>2.20 合同使用的文字和</w:t>
      </w:r>
      <w:r>
        <w:rPr>
          <w:rFonts w:ascii="仿宋" w:hAnsi="仿宋" w:eastAsia="仿宋" w:cs="Times New Roman"/>
          <w:b/>
          <w:bCs/>
          <w:color w:val="auto"/>
          <w:sz w:val="24"/>
          <w:szCs w:val="24"/>
          <w:highlight w:val="none"/>
        </w:rPr>
        <w:t>适用的法律</w:t>
      </w:r>
      <w:bookmarkEnd w:id="233"/>
      <w:bookmarkEnd w:id="234"/>
      <w:bookmarkEnd w:id="235"/>
      <w:bookmarkEnd w:id="236"/>
      <w:bookmarkEnd w:id="237"/>
      <w:bookmarkEnd w:id="238"/>
    </w:p>
    <w:p w14:paraId="40B128D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14:paraId="23C5475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2.20.2 合同适用</w:t>
      </w:r>
      <w:r>
        <w:rPr>
          <w:rFonts w:ascii="仿宋" w:hAnsi="仿宋" w:eastAsia="仿宋" w:cs="Times New Roman"/>
          <w:color w:val="auto"/>
          <w:sz w:val="24"/>
          <w:szCs w:val="24"/>
          <w:highlight w:val="none"/>
        </w:rPr>
        <w:t>中华人民共和国法律。</w:t>
      </w:r>
    </w:p>
    <w:p w14:paraId="2181BE46">
      <w:pPr>
        <w:spacing w:line="360" w:lineRule="auto"/>
        <w:ind w:firstLine="482" w:firstLineChars="200"/>
        <w:rPr>
          <w:rFonts w:ascii="仿宋" w:hAnsi="仿宋" w:eastAsia="仿宋" w:cs="Times New Roman"/>
          <w:b/>
          <w:bCs/>
          <w:color w:val="auto"/>
          <w:sz w:val="24"/>
          <w:szCs w:val="24"/>
          <w:highlight w:val="none"/>
        </w:rPr>
      </w:pPr>
      <w:bookmarkStart w:id="239" w:name="_Toc14001"/>
      <w:bookmarkStart w:id="240" w:name="_Toc6885"/>
      <w:bookmarkStart w:id="241" w:name="_Toc19890"/>
      <w:r>
        <w:rPr>
          <w:rFonts w:hint="eastAsia" w:ascii="仿宋" w:hAnsi="仿宋" w:eastAsia="仿宋" w:cs="Times New Roman"/>
          <w:b/>
          <w:bCs/>
          <w:color w:val="auto"/>
          <w:sz w:val="24"/>
          <w:szCs w:val="24"/>
          <w:highlight w:val="none"/>
        </w:rPr>
        <w:t>2.2</w:t>
      </w:r>
      <w:r>
        <w:rPr>
          <w:rFonts w:hint="eastAsia" w:ascii="仿宋" w:hAnsi="仿宋" w:eastAsia="仿宋" w:cs="Times New Roman"/>
          <w:b/>
          <w:bCs/>
          <w:color w:val="auto"/>
          <w:sz w:val="24"/>
          <w:szCs w:val="24"/>
          <w:highlight w:val="none"/>
          <w:lang w:val="en-US" w:eastAsia="zh-CN"/>
        </w:rPr>
        <w:t>1</w:t>
      </w:r>
      <w:r>
        <w:rPr>
          <w:rFonts w:hint="eastAsia" w:ascii="仿宋" w:hAnsi="仿宋" w:eastAsia="仿宋" w:cs="Times New Roman"/>
          <w:b/>
          <w:bCs/>
          <w:color w:val="auto"/>
          <w:sz w:val="24"/>
          <w:szCs w:val="24"/>
          <w:highlight w:val="none"/>
        </w:rPr>
        <w:t xml:space="preserve"> 合同份数</w:t>
      </w:r>
      <w:bookmarkEnd w:id="239"/>
      <w:bookmarkEnd w:id="240"/>
      <w:bookmarkEnd w:id="241"/>
    </w:p>
    <w:p w14:paraId="68AD24A3">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14:paraId="0001356E">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556D16AA">
      <w:pPr>
        <w:autoSpaceDE w:val="0"/>
        <w:autoSpaceDN w:val="0"/>
        <w:adjustRightInd w:val="0"/>
        <w:spacing w:line="560" w:lineRule="exact"/>
        <w:jc w:val="center"/>
        <w:rPr>
          <w:rFonts w:ascii="仿宋" w:hAnsi="仿宋" w:eastAsia="仿宋" w:cs="Times New Roman"/>
          <w:b/>
          <w:color w:val="auto"/>
          <w:sz w:val="24"/>
          <w:szCs w:val="24"/>
          <w:highlight w:val="none"/>
        </w:rPr>
      </w:pPr>
      <w:bookmarkStart w:id="242" w:name="_Toc331685784"/>
      <w:r>
        <w:rPr>
          <w:rFonts w:hint="eastAsia" w:ascii="仿宋" w:hAnsi="仿宋" w:eastAsia="仿宋" w:cs="Times New Roman"/>
          <w:b/>
          <w:color w:val="auto"/>
          <w:sz w:val="24"/>
          <w:szCs w:val="24"/>
          <w:highlight w:val="none"/>
        </w:rPr>
        <w:t>第三部分  合同专用条款</w:t>
      </w:r>
      <w:bookmarkEnd w:id="242"/>
    </w:p>
    <w:p w14:paraId="347DA59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CC61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73E95DA9">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14:paraId="19DF5AED">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14:paraId="69F2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589DD123">
            <w:pPr>
              <w:spacing w:line="560" w:lineRule="exact"/>
              <w:rPr>
                <w:rFonts w:ascii="仿宋" w:hAnsi="仿宋" w:eastAsia="仿宋" w:cs="Times New Roman"/>
                <w:color w:val="auto"/>
                <w:sz w:val="24"/>
                <w:szCs w:val="24"/>
                <w:highlight w:val="none"/>
              </w:rPr>
            </w:pPr>
          </w:p>
        </w:tc>
        <w:tc>
          <w:tcPr>
            <w:tcW w:w="7633" w:type="dxa"/>
            <w:vAlign w:val="center"/>
          </w:tcPr>
          <w:p w14:paraId="259F5EAF">
            <w:pPr>
              <w:spacing w:line="560" w:lineRule="exact"/>
              <w:rPr>
                <w:rFonts w:ascii="仿宋" w:hAnsi="仿宋" w:eastAsia="仿宋" w:cs="Times New Roman"/>
                <w:color w:val="auto"/>
                <w:sz w:val="24"/>
                <w:szCs w:val="24"/>
                <w:highlight w:val="none"/>
              </w:rPr>
            </w:pPr>
          </w:p>
        </w:tc>
      </w:tr>
      <w:tr w14:paraId="3BC7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9E34236">
            <w:pPr>
              <w:spacing w:line="560" w:lineRule="exact"/>
              <w:rPr>
                <w:rFonts w:ascii="仿宋" w:hAnsi="仿宋" w:eastAsia="仿宋" w:cs="Times New Roman"/>
                <w:color w:val="auto"/>
                <w:sz w:val="24"/>
                <w:szCs w:val="24"/>
                <w:highlight w:val="none"/>
              </w:rPr>
            </w:pPr>
          </w:p>
        </w:tc>
        <w:tc>
          <w:tcPr>
            <w:tcW w:w="7633" w:type="dxa"/>
            <w:vAlign w:val="center"/>
          </w:tcPr>
          <w:p w14:paraId="6E091FB2">
            <w:pPr>
              <w:spacing w:line="560" w:lineRule="exact"/>
              <w:rPr>
                <w:rFonts w:ascii="仿宋" w:hAnsi="仿宋" w:eastAsia="仿宋" w:cs="Times New Roman"/>
                <w:color w:val="auto"/>
                <w:sz w:val="24"/>
                <w:szCs w:val="24"/>
                <w:highlight w:val="none"/>
              </w:rPr>
            </w:pPr>
          </w:p>
        </w:tc>
      </w:tr>
      <w:tr w14:paraId="122F6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339AA963">
            <w:pPr>
              <w:spacing w:line="560" w:lineRule="exact"/>
              <w:rPr>
                <w:rFonts w:ascii="仿宋" w:hAnsi="仿宋" w:eastAsia="仿宋" w:cs="Times New Roman"/>
                <w:color w:val="auto"/>
                <w:sz w:val="24"/>
                <w:szCs w:val="24"/>
                <w:highlight w:val="none"/>
              </w:rPr>
            </w:pPr>
          </w:p>
        </w:tc>
        <w:tc>
          <w:tcPr>
            <w:tcW w:w="7633" w:type="dxa"/>
            <w:vAlign w:val="center"/>
          </w:tcPr>
          <w:p w14:paraId="1D5CB755">
            <w:pPr>
              <w:spacing w:line="560" w:lineRule="exact"/>
              <w:rPr>
                <w:rFonts w:ascii="仿宋" w:hAnsi="仿宋" w:eastAsia="仿宋" w:cs="Times New Roman"/>
                <w:color w:val="auto"/>
                <w:sz w:val="24"/>
                <w:szCs w:val="24"/>
                <w:highlight w:val="none"/>
              </w:rPr>
            </w:pPr>
          </w:p>
        </w:tc>
      </w:tr>
      <w:tr w14:paraId="4239A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79DB8DA4">
            <w:pPr>
              <w:spacing w:line="560" w:lineRule="exact"/>
              <w:rPr>
                <w:rFonts w:ascii="仿宋" w:hAnsi="仿宋" w:eastAsia="仿宋" w:cs="Times New Roman"/>
                <w:color w:val="auto"/>
                <w:sz w:val="24"/>
                <w:szCs w:val="24"/>
                <w:highlight w:val="none"/>
              </w:rPr>
            </w:pPr>
          </w:p>
        </w:tc>
        <w:tc>
          <w:tcPr>
            <w:tcW w:w="7633" w:type="dxa"/>
            <w:vAlign w:val="center"/>
          </w:tcPr>
          <w:p w14:paraId="22429B11">
            <w:pPr>
              <w:spacing w:line="560" w:lineRule="exact"/>
              <w:rPr>
                <w:rFonts w:ascii="仿宋" w:hAnsi="仿宋" w:eastAsia="仿宋" w:cs="Times New Roman"/>
                <w:color w:val="auto"/>
                <w:sz w:val="24"/>
                <w:szCs w:val="24"/>
                <w:highlight w:val="none"/>
              </w:rPr>
            </w:pPr>
          </w:p>
        </w:tc>
      </w:tr>
      <w:tr w14:paraId="7DC3E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E581581">
            <w:pPr>
              <w:spacing w:line="560" w:lineRule="exact"/>
              <w:rPr>
                <w:rFonts w:ascii="仿宋" w:hAnsi="仿宋" w:eastAsia="仿宋" w:cs="Times New Roman"/>
                <w:color w:val="auto"/>
                <w:sz w:val="24"/>
                <w:szCs w:val="24"/>
                <w:highlight w:val="none"/>
              </w:rPr>
            </w:pPr>
          </w:p>
        </w:tc>
        <w:tc>
          <w:tcPr>
            <w:tcW w:w="7633" w:type="dxa"/>
            <w:vAlign w:val="center"/>
          </w:tcPr>
          <w:p w14:paraId="1C9A11CE">
            <w:pPr>
              <w:spacing w:line="560" w:lineRule="exact"/>
              <w:rPr>
                <w:rFonts w:ascii="仿宋" w:hAnsi="仿宋" w:eastAsia="仿宋" w:cs="Times New Roman"/>
                <w:color w:val="auto"/>
                <w:sz w:val="24"/>
                <w:szCs w:val="24"/>
                <w:highlight w:val="none"/>
                <w:u w:val="single"/>
              </w:rPr>
            </w:pPr>
          </w:p>
        </w:tc>
      </w:tr>
      <w:tr w14:paraId="746AD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24773BB6">
            <w:pPr>
              <w:spacing w:line="560" w:lineRule="exact"/>
              <w:rPr>
                <w:rFonts w:ascii="仿宋" w:hAnsi="仿宋" w:eastAsia="仿宋" w:cs="Times New Roman"/>
                <w:color w:val="auto"/>
                <w:sz w:val="24"/>
                <w:szCs w:val="24"/>
                <w:highlight w:val="none"/>
              </w:rPr>
            </w:pPr>
          </w:p>
        </w:tc>
        <w:tc>
          <w:tcPr>
            <w:tcW w:w="7633" w:type="dxa"/>
            <w:vAlign w:val="center"/>
          </w:tcPr>
          <w:p w14:paraId="46B62C3D">
            <w:pPr>
              <w:spacing w:line="560" w:lineRule="exact"/>
              <w:rPr>
                <w:rFonts w:ascii="仿宋" w:hAnsi="仿宋" w:eastAsia="仿宋" w:cs="Times New Roman"/>
                <w:color w:val="auto"/>
                <w:sz w:val="24"/>
                <w:szCs w:val="24"/>
                <w:highlight w:val="none"/>
              </w:rPr>
            </w:pPr>
          </w:p>
        </w:tc>
      </w:tr>
      <w:tr w14:paraId="3FCF2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321556A0">
            <w:pPr>
              <w:spacing w:line="560" w:lineRule="exact"/>
              <w:rPr>
                <w:rFonts w:ascii="仿宋" w:hAnsi="仿宋" w:eastAsia="仿宋" w:cs="Times New Roman"/>
                <w:color w:val="auto"/>
                <w:sz w:val="24"/>
                <w:szCs w:val="24"/>
                <w:highlight w:val="none"/>
              </w:rPr>
            </w:pPr>
          </w:p>
        </w:tc>
        <w:tc>
          <w:tcPr>
            <w:tcW w:w="7633" w:type="dxa"/>
            <w:vAlign w:val="center"/>
          </w:tcPr>
          <w:p w14:paraId="5635172C">
            <w:pPr>
              <w:spacing w:line="560" w:lineRule="exact"/>
              <w:rPr>
                <w:rFonts w:ascii="仿宋" w:hAnsi="仿宋" w:eastAsia="仿宋" w:cs="Times New Roman"/>
                <w:color w:val="auto"/>
                <w:sz w:val="24"/>
                <w:szCs w:val="24"/>
                <w:highlight w:val="none"/>
                <w:u w:val="single"/>
              </w:rPr>
            </w:pPr>
          </w:p>
        </w:tc>
      </w:tr>
      <w:tr w14:paraId="25896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E2A93E7">
            <w:pPr>
              <w:spacing w:line="560" w:lineRule="exact"/>
              <w:rPr>
                <w:rFonts w:ascii="仿宋" w:hAnsi="仿宋" w:eastAsia="仿宋" w:cs="Times New Roman"/>
                <w:color w:val="auto"/>
                <w:sz w:val="24"/>
                <w:szCs w:val="24"/>
                <w:highlight w:val="none"/>
              </w:rPr>
            </w:pPr>
          </w:p>
        </w:tc>
        <w:tc>
          <w:tcPr>
            <w:tcW w:w="7633" w:type="dxa"/>
            <w:vAlign w:val="center"/>
          </w:tcPr>
          <w:p w14:paraId="373B86E1">
            <w:pPr>
              <w:spacing w:line="560" w:lineRule="exact"/>
              <w:rPr>
                <w:rFonts w:ascii="仿宋" w:hAnsi="仿宋" w:eastAsia="仿宋" w:cs="Times New Roman"/>
                <w:color w:val="auto"/>
                <w:sz w:val="24"/>
                <w:szCs w:val="24"/>
                <w:highlight w:val="none"/>
              </w:rPr>
            </w:pPr>
          </w:p>
        </w:tc>
      </w:tr>
      <w:tr w14:paraId="171B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36FBD7A">
            <w:pPr>
              <w:spacing w:line="560" w:lineRule="exact"/>
              <w:rPr>
                <w:rFonts w:ascii="仿宋" w:hAnsi="仿宋" w:eastAsia="仿宋" w:cs="Times New Roman"/>
                <w:color w:val="auto"/>
                <w:sz w:val="24"/>
                <w:szCs w:val="24"/>
                <w:highlight w:val="none"/>
              </w:rPr>
            </w:pPr>
          </w:p>
        </w:tc>
        <w:tc>
          <w:tcPr>
            <w:tcW w:w="7633" w:type="dxa"/>
            <w:vAlign w:val="center"/>
          </w:tcPr>
          <w:p w14:paraId="339CC25F">
            <w:pPr>
              <w:spacing w:line="560" w:lineRule="exact"/>
              <w:rPr>
                <w:rFonts w:ascii="仿宋" w:hAnsi="仿宋" w:eastAsia="仿宋" w:cs="Times New Roman"/>
                <w:color w:val="auto"/>
                <w:sz w:val="24"/>
                <w:szCs w:val="24"/>
                <w:highlight w:val="none"/>
              </w:rPr>
            </w:pPr>
          </w:p>
        </w:tc>
      </w:tr>
      <w:tr w14:paraId="47564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50949CFF">
            <w:pPr>
              <w:spacing w:line="560" w:lineRule="exact"/>
              <w:rPr>
                <w:rFonts w:ascii="仿宋" w:hAnsi="仿宋" w:eastAsia="仿宋" w:cs="Times New Roman"/>
                <w:color w:val="auto"/>
                <w:sz w:val="24"/>
                <w:szCs w:val="24"/>
                <w:highlight w:val="none"/>
              </w:rPr>
            </w:pPr>
          </w:p>
        </w:tc>
        <w:tc>
          <w:tcPr>
            <w:tcW w:w="7633" w:type="dxa"/>
            <w:vAlign w:val="center"/>
          </w:tcPr>
          <w:p w14:paraId="6C441D9D">
            <w:pPr>
              <w:spacing w:line="560" w:lineRule="exact"/>
              <w:rPr>
                <w:rFonts w:ascii="仿宋" w:hAnsi="仿宋" w:eastAsia="仿宋" w:cs="Times New Roman"/>
                <w:color w:val="auto"/>
                <w:sz w:val="24"/>
                <w:szCs w:val="24"/>
                <w:highlight w:val="none"/>
              </w:rPr>
            </w:pPr>
          </w:p>
        </w:tc>
      </w:tr>
      <w:tr w14:paraId="1DB4D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311549C6">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787F5CE6">
            <w:pPr>
              <w:spacing w:line="560" w:lineRule="exact"/>
              <w:rPr>
                <w:rFonts w:ascii="仿宋" w:hAnsi="仿宋" w:eastAsia="仿宋" w:cs="Times New Roman"/>
                <w:color w:val="auto"/>
                <w:sz w:val="24"/>
                <w:szCs w:val="24"/>
                <w:highlight w:val="none"/>
              </w:rPr>
            </w:pPr>
          </w:p>
        </w:tc>
      </w:tr>
      <w:tr w14:paraId="20395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19344139">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600F39A8">
            <w:pPr>
              <w:spacing w:line="560" w:lineRule="exact"/>
              <w:rPr>
                <w:rFonts w:ascii="仿宋" w:hAnsi="仿宋" w:eastAsia="仿宋" w:cs="Times New Roman"/>
                <w:color w:val="auto"/>
                <w:sz w:val="24"/>
                <w:szCs w:val="24"/>
                <w:highlight w:val="none"/>
              </w:rPr>
            </w:pPr>
          </w:p>
        </w:tc>
      </w:tr>
    </w:tbl>
    <w:p w14:paraId="0E2A54DC">
      <w:pPr>
        <w:spacing w:line="560" w:lineRule="exact"/>
        <w:ind w:firstLine="482" w:firstLineChars="200"/>
        <w:rPr>
          <w:rFonts w:ascii="仿宋" w:hAnsi="仿宋" w:eastAsia="仿宋" w:cs="Times New Roman"/>
          <w:b/>
          <w:color w:val="auto"/>
          <w:sz w:val="24"/>
          <w:szCs w:val="24"/>
          <w:highlight w:val="none"/>
        </w:rPr>
      </w:pPr>
    </w:p>
    <w:p w14:paraId="0D87661D">
      <w:pPr>
        <w:ind w:firstLine="840" w:firstLineChars="400"/>
        <w:rPr>
          <w:color w:val="auto"/>
          <w:highlight w:val="none"/>
        </w:rPr>
      </w:pPr>
    </w:p>
    <w:p w14:paraId="3B6CA3F9">
      <w:pPr>
        <w:widowControl/>
        <w:jc w:val="left"/>
        <w:rPr>
          <w:rFonts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14:paraId="14CC3C2A">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14:paraId="4240F332">
      <w:pPr>
        <w:widowControl/>
        <w:shd w:val="clear" w:color="auto" w:fill="FFFFFF"/>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供应商投标文件材料（一正二副，密封并牢固装订）</w:t>
      </w:r>
    </w:p>
    <w:p w14:paraId="2431AA0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投标人符合《政府采购法》第二十二条规定条件的承诺函</w:t>
      </w:r>
      <w:r>
        <w:rPr>
          <w:rFonts w:ascii="仿宋" w:hAnsi="仿宋" w:eastAsia="仿宋" w:cs="仿宋"/>
          <w:bCs/>
          <w:color w:val="auto"/>
          <w:sz w:val="24"/>
          <w:szCs w:val="24"/>
          <w:highlight w:val="none"/>
        </w:rPr>
        <w:t>；（格式见附件1）</w:t>
      </w:r>
    </w:p>
    <w:p w14:paraId="0BD0A6D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14:paraId="3D594F5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w:t>
      </w:r>
      <w:r>
        <w:rPr>
          <w:rFonts w:hint="eastAsia" w:ascii="仿宋" w:hAnsi="仿宋" w:eastAsia="仿宋" w:cs="仿宋"/>
          <w:bCs/>
          <w:color w:val="auto"/>
          <w:sz w:val="24"/>
          <w:szCs w:val="24"/>
          <w:highlight w:val="none"/>
        </w:rPr>
        <w:t>授权</w:t>
      </w:r>
      <w:r>
        <w:rPr>
          <w:rFonts w:ascii="仿宋" w:hAnsi="仿宋" w:eastAsia="仿宋" w:cs="仿宋"/>
          <w:bCs/>
          <w:color w:val="auto"/>
          <w:sz w:val="24"/>
          <w:szCs w:val="24"/>
          <w:highlight w:val="none"/>
        </w:rPr>
        <w:t>代表本人身份证复印件；（格式见附件3）</w:t>
      </w:r>
    </w:p>
    <w:p w14:paraId="2175113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14:paraId="7AA7DF6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供应商未被“信用中国”网站（www.creditchina.gov.cn）列入失信被执行人、重大税收违法案件当事人名单、政府采购严重失信行为记录名单（提供网页查询截图）；</w:t>
      </w:r>
    </w:p>
    <w:p w14:paraId="1E958D2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lang w:val="en-US" w:eastAsia="zh-CN"/>
        </w:rPr>
        <w:t>9</w:t>
      </w:r>
      <w:r>
        <w:rPr>
          <w:rFonts w:ascii="仿宋" w:hAnsi="仿宋" w:eastAsia="仿宋" w:cs="仿宋"/>
          <w:bCs/>
          <w:color w:val="auto"/>
          <w:sz w:val="24"/>
          <w:szCs w:val="24"/>
          <w:highlight w:val="none"/>
        </w:rPr>
        <w:t>）</w:t>
      </w:r>
    </w:p>
    <w:p w14:paraId="7BC4F13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lang w:eastAsia="zh-CN"/>
        </w:rPr>
        <w:t>招标</w:t>
      </w:r>
      <w:r>
        <w:rPr>
          <w:rFonts w:ascii="仿宋" w:hAnsi="仿宋" w:eastAsia="仿宋" w:cs="仿宋"/>
          <w:bCs/>
          <w:color w:val="auto"/>
          <w:sz w:val="24"/>
          <w:szCs w:val="24"/>
          <w:highlight w:val="none"/>
        </w:rPr>
        <w:t>公告资格要求提供相应的佐证材料；</w:t>
      </w:r>
    </w:p>
    <w:p w14:paraId="4DD9BAE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8.供应商情况一览表；（格式见附件4）</w:t>
      </w:r>
    </w:p>
    <w:p w14:paraId="5977AD3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9.商务部分正负偏离表；（格式见附件5）</w:t>
      </w:r>
    </w:p>
    <w:p w14:paraId="24925C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10.技术部分正负偏离表；（格式见附件6）</w:t>
      </w:r>
    </w:p>
    <w:p w14:paraId="05ED553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11.响应方案、货物（服务）清单。具有项目、数量、品牌、型号、配置性能等；</w:t>
      </w:r>
    </w:p>
    <w:p w14:paraId="19C076E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12.供应商认为需要提交的其他商务技术材料。</w:t>
      </w:r>
    </w:p>
    <w:p w14:paraId="6EAFB32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13.报价总表；（格式见附件7）</w:t>
      </w:r>
    </w:p>
    <w:p w14:paraId="15F841C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14.分项报价明细表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14:paraId="45A51723">
      <w:pPr>
        <w:widowControl/>
        <w:shd w:val="clear" w:color="auto" w:fill="FFFFFF"/>
        <w:spacing w:line="360" w:lineRule="auto"/>
        <w:ind w:firstLine="560" w:firstLineChars="200"/>
        <w:jc w:val="left"/>
        <w:rPr>
          <w:rFonts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14:paraId="0E735442">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14:paraId="1BEEA00C">
      <w:pPr>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投标人符合《政府采购法》第二十二条规定条件的声明函</w:t>
      </w:r>
    </w:p>
    <w:p w14:paraId="28A19306">
      <w:pPr>
        <w:spacing w:line="360" w:lineRule="auto"/>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14:paraId="3A14B4AE">
      <w:pPr>
        <w:spacing w:line="360" w:lineRule="auto"/>
        <w:ind w:firstLine="48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（项目编号）投标活动。针对《中华人民共和国政府采购法》第二十二条规定做出如下声明：</w:t>
      </w:r>
    </w:p>
    <w:p w14:paraId="6E64E76F">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1.我单位具有独立承担民事责任的能力；</w:t>
      </w:r>
    </w:p>
    <w:p w14:paraId="2710B0BF">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2.我单位具有良好的商业信誉和健全的财务会计制度；</w:t>
      </w:r>
    </w:p>
    <w:p w14:paraId="71A7253B">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3.我单位具有履行合同所必需的设备和专业技术能力；</w:t>
      </w:r>
    </w:p>
    <w:p w14:paraId="7B3ACA2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4.我单位有依法缴纳税收和社会保障资金的良好记录；</w:t>
      </w:r>
    </w:p>
    <w:p w14:paraId="79F5DB6A">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A8C74C1">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6.我单位满足法律、行政法规规定的其他条件。</w:t>
      </w:r>
    </w:p>
    <w:p w14:paraId="3949D4BE">
      <w:pPr>
        <w:spacing w:line="360" w:lineRule="auto"/>
        <w:rPr>
          <w:rFonts w:ascii="仿宋" w:hAnsi="仿宋" w:eastAsia="仿宋" w:cs="Times New Roman"/>
          <w:bCs/>
          <w:color w:val="auto"/>
          <w:sz w:val="24"/>
          <w:szCs w:val="24"/>
          <w:highlight w:val="none"/>
        </w:rPr>
      </w:pPr>
    </w:p>
    <w:p w14:paraId="1C6D8273">
      <w:pPr>
        <w:spacing w:line="360" w:lineRule="auto"/>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14:paraId="1DCB404F">
      <w:pPr>
        <w:spacing w:line="360" w:lineRule="auto"/>
        <w:ind w:right="112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51D5298E">
      <w:pPr>
        <w:widowControl/>
        <w:spacing w:line="360" w:lineRule="auto"/>
        <w:jc w:val="left"/>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14:paraId="07CB8CC0">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14:paraId="0D922D9E">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14:paraId="55E39ED4">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14:paraId="6613FB0E">
      <w:pPr>
        <w:spacing w:line="360" w:lineRule="auto"/>
        <w:ind w:firstLine="48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14:paraId="3D1BF887">
      <w:pPr>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14:paraId="238716AC">
      <w:pPr>
        <w:snapToGrid w:val="0"/>
        <w:spacing w:line="360" w:lineRule="auto"/>
        <w:contextualSpacing/>
        <w:rPr>
          <w:rFonts w:ascii="仿宋" w:hAnsi="仿宋" w:eastAsia="仿宋" w:cs="宋体"/>
          <w:b/>
          <w:color w:val="auto"/>
          <w:kern w:val="0"/>
          <w:sz w:val="24"/>
          <w:szCs w:val="24"/>
          <w:highlight w:val="none"/>
          <w:lang w:val="zh-CN"/>
        </w:rPr>
      </w:pPr>
    </w:p>
    <w:p w14:paraId="19D02A4B">
      <w:pPr>
        <w:snapToGrid w:val="0"/>
        <w:spacing w:line="360" w:lineRule="auto"/>
        <w:contextualSpacing/>
        <w:rPr>
          <w:rFonts w:ascii="仿宋" w:hAnsi="仿宋" w:eastAsia="仿宋" w:cs="宋体"/>
          <w:b/>
          <w:color w:val="auto"/>
          <w:kern w:val="0"/>
          <w:sz w:val="24"/>
          <w:szCs w:val="24"/>
          <w:highlight w:val="none"/>
          <w:lang w:val="zh-CN"/>
        </w:rPr>
      </w:pPr>
    </w:p>
    <w:p w14:paraId="0806D61D">
      <w:pPr>
        <w:snapToGrid w:val="0"/>
        <w:spacing w:line="360" w:lineRule="auto"/>
        <w:contextualSpacing/>
        <w:rPr>
          <w:rFonts w:ascii="仿宋" w:hAnsi="仿宋" w:eastAsia="仿宋" w:cs="宋体"/>
          <w:b/>
          <w:color w:val="auto"/>
          <w:kern w:val="0"/>
          <w:sz w:val="24"/>
          <w:szCs w:val="24"/>
          <w:highlight w:val="none"/>
          <w:lang w:val="zh-CN"/>
        </w:rPr>
      </w:pPr>
    </w:p>
    <w:p w14:paraId="595F0217">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14:paraId="30CB6AFD">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14:paraId="6DAC2205">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14:paraId="6247318E">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14:paraId="0E2948F6">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14:paraId="2839C0FA">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14:paraId="39FCA768">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14:paraId="06319BBA">
      <w:pPr>
        <w:spacing w:line="360" w:lineRule="auto"/>
        <w:jc w:val="right"/>
        <w:rPr>
          <w:rFonts w:ascii="仿宋" w:hAnsi="仿宋" w:eastAsia="仿宋" w:cs="Times New Roman"/>
          <w:color w:val="auto"/>
          <w:sz w:val="24"/>
          <w:szCs w:val="24"/>
          <w:highlight w:val="none"/>
        </w:rPr>
      </w:pPr>
    </w:p>
    <w:p w14:paraId="590A9D99">
      <w:pPr>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63D6E845">
      <w:pPr>
        <w:snapToGrid w:val="0"/>
        <w:spacing w:line="360" w:lineRule="auto"/>
        <w:contextualSpacing/>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14:paraId="5C19985A">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18DCC4CB">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14:paraId="2E064C20">
      <w:pPr>
        <w:tabs>
          <w:tab w:val="left" w:pos="1260"/>
        </w:tabs>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0807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5793C27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0"/>
            <w:vAlign w:val="center"/>
          </w:tcPr>
          <w:p w14:paraId="1F2ACF52">
            <w:pPr>
              <w:tabs>
                <w:tab w:val="left" w:pos="4320"/>
              </w:tabs>
              <w:spacing w:line="360" w:lineRule="auto"/>
              <w:rPr>
                <w:rFonts w:ascii="仿宋" w:hAnsi="仿宋" w:eastAsia="仿宋" w:cs="Times New Roman"/>
                <w:color w:val="auto"/>
                <w:sz w:val="24"/>
                <w:szCs w:val="24"/>
                <w:highlight w:val="none"/>
              </w:rPr>
            </w:pPr>
          </w:p>
        </w:tc>
      </w:tr>
      <w:tr w14:paraId="5E8A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10DF07D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9"/>
            <w:vAlign w:val="center"/>
          </w:tcPr>
          <w:p w14:paraId="280F5C10">
            <w:pPr>
              <w:tabs>
                <w:tab w:val="left" w:pos="4320"/>
              </w:tabs>
              <w:spacing w:line="360" w:lineRule="auto"/>
              <w:rPr>
                <w:rFonts w:ascii="仿宋" w:hAnsi="仿宋" w:eastAsia="仿宋" w:cs="Times New Roman"/>
                <w:color w:val="auto"/>
                <w:sz w:val="24"/>
                <w:szCs w:val="24"/>
                <w:highlight w:val="none"/>
              </w:rPr>
            </w:pPr>
          </w:p>
        </w:tc>
      </w:tr>
      <w:tr w14:paraId="68DF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BC0BE6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14:paraId="7A500CF0">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14:paraId="38011F3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14:paraId="48AE79D0">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14:paraId="75AEEED8">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14:paraId="478C35F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2"/>
            <w:vAlign w:val="center"/>
          </w:tcPr>
          <w:p w14:paraId="0F50D98D">
            <w:pPr>
              <w:tabs>
                <w:tab w:val="left" w:pos="4320"/>
              </w:tabs>
              <w:spacing w:line="360" w:lineRule="auto"/>
              <w:rPr>
                <w:rFonts w:ascii="仿宋" w:hAnsi="仿宋" w:eastAsia="仿宋" w:cs="Times New Roman"/>
                <w:color w:val="auto"/>
                <w:sz w:val="24"/>
                <w:szCs w:val="24"/>
                <w:highlight w:val="none"/>
              </w:rPr>
            </w:pPr>
          </w:p>
        </w:tc>
        <w:tc>
          <w:tcPr>
            <w:tcW w:w="1184" w:type="dxa"/>
            <w:gridSpan w:val="2"/>
            <w:vAlign w:val="center"/>
          </w:tcPr>
          <w:p w14:paraId="2AEBA24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14:paraId="5D1717D1">
            <w:pPr>
              <w:tabs>
                <w:tab w:val="left" w:pos="4320"/>
              </w:tabs>
              <w:spacing w:line="360" w:lineRule="auto"/>
              <w:rPr>
                <w:rFonts w:ascii="仿宋" w:hAnsi="仿宋" w:eastAsia="仿宋" w:cs="Times New Roman"/>
                <w:color w:val="auto"/>
                <w:sz w:val="24"/>
                <w:szCs w:val="24"/>
                <w:highlight w:val="none"/>
              </w:rPr>
            </w:pPr>
          </w:p>
        </w:tc>
      </w:tr>
      <w:tr w14:paraId="4F39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0586F30">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0E4B29F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14:paraId="05FDC246">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14:paraId="2877A8AD">
            <w:pPr>
              <w:tabs>
                <w:tab w:val="left" w:pos="4320"/>
              </w:tabs>
              <w:spacing w:line="360" w:lineRule="auto"/>
              <w:rPr>
                <w:rFonts w:ascii="仿宋" w:hAnsi="仿宋" w:eastAsia="仿宋" w:cs="Times New Roman"/>
                <w:color w:val="auto"/>
                <w:sz w:val="24"/>
                <w:szCs w:val="24"/>
                <w:highlight w:val="none"/>
              </w:rPr>
            </w:pPr>
          </w:p>
        </w:tc>
        <w:tc>
          <w:tcPr>
            <w:tcW w:w="946" w:type="dxa"/>
            <w:vMerge w:val="restart"/>
            <w:vAlign w:val="center"/>
          </w:tcPr>
          <w:p w14:paraId="2C784FBC">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14:paraId="1829325F">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5"/>
            <w:vAlign w:val="center"/>
          </w:tcPr>
          <w:p w14:paraId="2BFB96B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14:paraId="3B6A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10D77865">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4626B12E">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14:paraId="54DFC4C2">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14:paraId="7D1CB9B2">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14:paraId="3D6AAE50">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14:paraId="76D69378">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24454931">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7A741B8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14:paraId="5657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40AE6CEB">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31709C1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14:paraId="6DD76C2F">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14:paraId="6D6A1C0A">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58E97404">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309BBA99">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14:paraId="5CDB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198BEE0">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14:paraId="616FB46E">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14:paraId="15D0DCDF">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14:paraId="47C6F48A">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14:paraId="737CDE5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14:paraId="3F23D59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14:paraId="346B621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vAlign w:val="center"/>
          </w:tcPr>
          <w:p w14:paraId="3CBBB0A2">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14:paraId="159BB93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14:paraId="037E15A3">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14:paraId="20F53013">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14:paraId="7911746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14:paraId="70E8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8F34E66">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21C781D">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D1ABAEA">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7BC77AED">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62BECBA0">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6891C04D">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6EA4B823">
            <w:pPr>
              <w:tabs>
                <w:tab w:val="left" w:pos="4320"/>
              </w:tabs>
              <w:spacing w:line="360" w:lineRule="auto"/>
              <w:rPr>
                <w:rFonts w:ascii="仿宋" w:hAnsi="仿宋" w:eastAsia="仿宋" w:cs="Times New Roman"/>
                <w:color w:val="auto"/>
                <w:sz w:val="24"/>
                <w:szCs w:val="24"/>
                <w:highlight w:val="none"/>
              </w:rPr>
            </w:pPr>
          </w:p>
        </w:tc>
      </w:tr>
      <w:tr w14:paraId="3EEE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22E543B1">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58ED9410">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41FE1236">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255D12B1">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14FE64B5">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46EB0E08">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0D2845D2">
            <w:pPr>
              <w:tabs>
                <w:tab w:val="left" w:pos="4320"/>
              </w:tabs>
              <w:spacing w:line="360" w:lineRule="auto"/>
              <w:rPr>
                <w:rFonts w:ascii="仿宋" w:hAnsi="仿宋" w:eastAsia="仿宋" w:cs="Times New Roman"/>
                <w:color w:val="auto"/>
                <w:sz w:val="24"/>
                <w:szCs w:val="24"/>
                <w:highlight w:val="none"/>
              </w:rPr>
            </w:pPr>
          </w:p>
        </w:tc>
      </w:tr>
      <w:tr w14:paraId="1E2C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7681E88">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056BDA0E">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33A25E6">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00A85771">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46940551">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6214455">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0F24160B">
            <w:pPr>
              <w:tabs>
                <w:tab w:val="left" w:pos="4320"/>
              </w:tabs>
              <w:spacing w:line="360" w:lineRule="auto"/>
              <w:rPr>
                <w:rFonts w:ascii="仿宋" w:hAnsi="仿宋" w:eastAsia="仿宋" w:cs="Times New Roman"/>
                <w:color w:val="auto"/>
                <w:sz w:val="24"/>
                <w:szCs w:val="24"/>
                <w:highlight w:val="none"/>
              </w:rPr>
            </w:pPr>
          </w:p>
        </w:tc>
      </w:tr>
      <w:tr w14:paraId="183F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2845AB51">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52815F78">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1C5F5E08">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4C804B9C">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34C61369">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5EEDCB01">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2CD3ED9A">
            <w:pPr>
              <w:tabs>
                <w:tab w:val="left" w:pos="4320"/>
              </w:tabs>
              <w:spacing w:line="360" w:lineRule="auto"/>
              <w:rPr>
                <w:rFonts w:ascii="仿宋" w:hAnsi="仿宋" w:eastAsia="仿宋" w:cs="Times New Roman"/>
                <w:color w:val="auto"/>
                <w:sz w:val="24"/>
                <w:szCs w:val="24"/>
                <w:highlight w:val="none"/>
              </w:rPr>
            </w:pPr>
          </w:p>
        </w:tc>
      </w:tr>
      <w:tr w14:paraId="5D3A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6D29C261">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6"/>
            <w:vAlign w:val="center"/>
          </w:tcPr>
          <w:p w14:paraId="281840BB">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近3年完成及正在执行的合同中发生的由于供应商违约或部分违约而引起诉讼和受到索赔的案件具体情况及结果（须如实填写，若对此进行隐瞒，尔后又被采购人或</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发现，或被它人举证成立，其</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资格将被取消）。</w:t>
            </w:r>
          </w:p>
        </w:tc>
        <w:tc>
          <w:tcPr>
            <w:tcW w:w="4142" w:type="dxa"/>
            <w:gridSpan w:val="5"/>
            <w:vAlign w:val="center"/>
          </w:tcPr>
          <w:p w14:paraId="094830BD">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30D9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55737515">
            <w:pPr>
              <w:tabs>
                <w:tab w:val="left" w:pos="4320"/>
              </w:tabs>
              <w:spacing w:line="360" w:lineRule="auto"/>
              <w:rPr>
                <w:rFonts w:ascii="仿宋" w:hAnsi="仿宋" w:eastAsia="仿宋" w:cs="Times New Roman"/>
                <w:color w:val="auto"/>
                <w:sz w:val="24"/>
                <w:szCs w:val="24"/>
                <w:highlight w:val="none"/>
              </w:rPr>
            </w:pPr>
          </w:p>
        </w:tc>
        <w:tc>
          <w:tcPr>
            <w:tcW w:w="4374" w:type="dxa"/>
            <w:gridSpan w:val="6"/>
            <w:vAlign w:val="center"/>
          </w:tcPr>
          <w:p w14:paraId="3AC53B2A">
            <w:pPr>
              <w:tabs>
                <w:tab w:val="left" w:pos="4320"/>
              </w:tabs>
              <w:spacing w:line="360" w:lineRule="auto"/>
              <w:rPr>
                <w:rFonts w:ascii="仿宋" w:hAnsi="仿宋" w:eastAsia="仿宋" w:cs="Times New Roman"/>
                <w:color w:val="auto"/>
                <w:sz w:val="24"/>
                <w:szCs w:val="24"/>
                <w:highlight w:val="none"/>
              </w:rPr>
            </w:pPr>
          </w:p>
        </w:tc>
        <w:tc>
          <w:tcPr>
            <w:tcW w:w="4142" w:type="dxa"/>
            <w:gridSpan w:val="5"/>
            <w:vAlign w:val="center"/>
          </w:tcPr>
          <w:p w14:paraId="00217021">
            <w:pPr>
              <w:tabs>
                <w:tab w:val="left" w:pos="4320"/>
              </w:tabs>
              <w:spacing w:line="360" w:lineRule="auto"/>
              <w:rPr>
                <w:rFonts w:ascii="仿宋" w:hAnsi="仿宋" w:eastAsia="仿宋" w:cs="Times New Roman"/>
                <w:color w:val="auto"/>
                <w:sz w:val="24"/>
                <w:szCs w:val="24"/>
                <w:highlight w:val="none"/>
              </w:rPr>
            </w:pPr>
          </w:p>
        </w:tc>
      </w:tr>
    </w:tbl>
    <w:p w14:paraId="220EF2EB">
      <w:pPr>
        <w:snapToGrid w:val="0"/>
        <w:spacing w:line="360" w:lineRule="auto"/>
        <w:contextualSpacing/>
        <w:rPr>
          <w:rFonts w:ascii="仿宋" w:hAnsi="仿宋" w:eastAsia="仿宋" w:cs="Times New Roman"/>
          <w:color w:val="auto"/>
          <w:kern w:val="0"/>
          <w:sz w:val="24"/>
          <w:szCs w:val="24"/>
          <w:highlight w:val="none"/>
        </w:rPr>
      </w:pPr>
    </w:p>
    <w:p w14:paraId="68A6EC4C">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57C1B0A1">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14:paraId="086D0AF3">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14:paraId="16E01C57">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21B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508B41E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603F055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7D5D65C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采购文件要求的商务条款</w:t>
            </w:r>
          </w:p>
        </w:tc>
        <w:tc>
          <w:tcPr>
            <w:tcW w:w="1413" w:type="pct"/>
            <w:vAlign w:val="center"/>
          </w:tcPr>
          <w:p w14:paraId="1C73DF3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2351D700">
            <w:pPr>
              <w:spacing w:line="360" w:lineRule="auto"/>
              <w:jc w:val="center"/>
              <w:rPr>
                <w:rFonts w:ascii="仿宋" w:hAnsi="仿宋" w:eastAsia="仿宋" w:cs="Times New Roman"/>
                <w:color w:val="auto"/>
                <w:sz w:val="24"/>
                <w:szCs w:val="24"/>
                <w:highlight w:val="none"/>
              </w:rPr>
            </w:pPr>
          </w:p>
          <w:p w14:paraId="4577ECC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1C03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679AE655">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0489325F">
            <w:pPr>
              <w:spacing w:line="360" w:lineRule="auto"/>
              <w:jc w:val="left"/>
              <w:rPr>
                <w:rFonts w:ascii="仿宋" w:hAnsi="仿宋" w:eastAsia="仿宋" w:cs="Times New Roman"/>
                <w:color w:val="auto"/>
                <w:sz w:val="24"/>
                <w:szCs w:val="24"/>
                <w:highlight w:val="none"/>
              </w:rPr>
            </w:pPr>
          </w:p>
        </w:tc>
        <w:tc>
          <w:tcPr>
            <w:tcW w:w="1095" w:type="pct"/>
            <w:vAlign w:val="center"/>
          </w:tcPr>
          <w:p w14:paraId="4269F9D7">
            <w:pPr>
              <w:spacing w:line="360" w:lineRule="auto"/>
              <w:jc w:val="left"/>
              <w:rPr>
                <w:rFonts w:ascii="仿宋" w:hAnsi="仿宋" w:eastAsia="仿宋" w:cs="Times New Roman"/>
                <w:color w:val="auto"/>
                <w:sz w:val="24"/>
                <w:szCs w:val="24"/>
                <w:highlight w:val="none"/>
              </w:rPr>
            </w:pPr>
          </w:p>
        </w:tc>
        <w:tc>
          <w:tcPr>
            <w:tcW w:w="1413" w:type="pct"/>
            <w:vAlign w:val="center"/>
          </w:tcPr>
          <w:p w14:paraId="7EB2B208">
            <w:pPr>
              <w:spacing w:line="360" w:lineRule="auto"/>
              <w:jc w:val="left"/>
              <w:rPr>
                <w:rFonts w:ascii="仿宋" w:hAnsi="仿宋" w:eastAsia="仿宋" w:cs="Times New Roman"/>
                <w:color w:val="auto"/>
                <w:sz w:val="24"/>
                <w:szCs w:val="24"/>
                <w:highlight w:val="none"/>
              </w:rPr>
            </w:pPr>
          </w:p>
        </w:tc>
        <w:tc>
          <w:tcPr>
            <w:tcW w:w="778" w:type="pct"/>
          </w:tcPr>
          <w:p w14:paraId="1583B481">
            <w:pPr>
              <w:spacing w:line="360" w:lineRule="auto"/>
              <w:jc w:val="left"/>
              <w:rPr>
                <w:rFonts w:ascii="仿宋" w:hAnsi="仿宋" w:eastAsia="仿宋" w:cs="Times New Roman"/>
                <w:color w:val="auto"/>
                <w:sz w:val="24"/>
                <w:szCs w:val="24"/>
                <w:highlight w:val="none"/>
              </w:rPr>
            </w:pPr>
          </w:p>
        </w:tc>
      </w:tr>
      <w:tr w14:paraId="2283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414FD10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6DE228C0">
            <w:pPr>
              <w:spacing w:line="360" w:lineRule="auto"/>
              <w:jc w:val="left"/>
              <w:rPr>
                <w:rFonts w:ascii="仿宋" w:hAnsi="仿宋" w:eastAsia="仿宋" w:cs="Times New Roman"/>
                <w:color w:val="auto"/>
                <w:sz w:val="24"/>
                <w:szCs w:val="24"/>
                <w:highlight w:val="none"/>
              </w:rPr>
            </w:pPr>
          </w:p>
        </w:tc>
        <w:tc>
          <w:tcPr>
            <w:tcW w:w="1095" w:type="pct"/>
            <w:vAlign w:val="center"/>
          </w:tcPr>
          <w:p w14:paraId="2B60A75D">
            <w:pPr>
              <w:spacing w:line="360" w:lineRule="auto"/>
              <w:jc w:val="left"/>
              <w:rPr>
                <w:rFonts w:ascii="仿宋" w:hAnsi="仿宋" w:eastAsia="仿宋" w:cs="Times New Roman"/>
                <w:color w:val="auto"/>
                <w:sz w:val="24"/>
                <w:szCs w:val="24"/>
                <w:highlight w:val="none"/>
              </w:rPr>
            </w:pPr>
          </w:p>
        </w:tc>
        <w:tc>
          <w:tcPr>
            <w:tcW w:w="1413" w:type="pct"/>
            <w:vAlign w:val="center"/>
          </w:tcPr>
          <w:p w14:paraId="5CD7F335">
            <w:pPr>
              <w:spacing w:line="360" w:lineRule="auto"/>
              <w:jc w:val="left"/>
              <w:rPr>
                <w:rFonts w:ascii="仿宋" w:hAnsi="仿宋" w:eastAsia="仿宋" w:cs="Times New Roman"/>
                <w:color w:val="auto"/>
                <w:sz w:val="24"/>
                <w:szCs w:val="24"/>
                <w:highlight w:val="none"/>
              </w:rPr>
            </w:pPr>
          </w:p>
        </w:tc>
        <w:tc>
          <w:tcPr>
            <w:tcW w:w="778" w:type="pct"/>
          </w:tcPr>
          <w:p w14:paraId="519CD158">
            <w:pPr>
              <w:spacing w:line="360" w:lineRule="auto"/>
              <w:jc w:val="left"/>
              <w:rPr>
                <w:rFonts w:ascii="仿宋" w:hAnsi="仿宋" w:eastAsia="仿宋" w:cs="Times New Roman"/>
                <w:color w:val="auto"/>
                <w:sz w:val="24"/>
                <w:szCs w:val="24"/>
                <w:highlight w:val="none"/>
              </w:rPr>
            </w:pPr>
          </w:p>
        </w:tc>
      </w:tr>
      <w:tr w14:paraId="07AA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0A5AA75E">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10C0A363">
            <w:pPr>
              <w:spacing w:line="360" w:lineRule="auto"/>
              <w:jc w:val="left"/>
              <w:rPr>
                <w:rFonts w:ascii="仿宋" w:hAnsi="仿宋" w:eastAsia="仿宋" w:cs="Times New Roman"/>
                <w:color w:val="auto"/>
                <w:sz w:val="24"/>
                <w:szCs w:val="24"/>
                <w:highlight w:val="none"/>
              </w:rPr>
            </w:pPr>
          </w:p>
        </w:tc>
        <w:tc>
          <w:tcPr>
            <w:tcW w:w="1095" w:type="pct"/>
            <w:vAlign w:val="center"/>
          </w:tcPr>
          <w:p w14:paraId="2CA48EF4">
            <w:pPr>
              <w:spacing w:line="360" w:lineRule="auto"/>
              <w:jc w:val="left"/>
              <w:rPr>
                <w:rFonts w:ascii="仿宋" w:hAnsi="仿宋" w:eastAsia="仿宋" w:cs="Times New Roman"/>
                <w:color w:val="auto"/>
                <w:sz w:val="24"/>
                <w:szCs w:val="24"/>
                <w:highlight w:val="none"/>
              </w:rPr>
            </w:pPr>
          </w:p>
        </w:tc>
        <w:tc>
          <w:tcPr>
            <w:tcW w:w="1413" w:type="pct"/>
            <w:vAlign w:val="center"/>
          </w:tcPr>
          <w:p w14:paraId="20219FAB">
            <w:pPr>
              <w:spacing w:line="360" w:lineRule="auto"/>
              <w:jc w:val="left"/>
              <w:rPr>
                <w:rFonts w:ascii="仿宋" w:hAnsi="仿宋" w:eastAsia="仿宋" w:cs="Times New Roman"/>
                <w:color w:val="auto"/>
                <w:sz w:val="24"/>
                <w:szCs w:val="24"/>
                <w:highlight w:val="none"/>
              </w:rPr>
            </w:pPr>
          </w:p>
        </w:tc>
        <w:tc>
          <w:tcPr>
            <w:tcW w:w="778" w:type="pct"/>
          </w:tcPr>
          <w:p w14:paraId="4FFBDA5C">
            <w:pPr>
              <w:spacing w:line="360" w:lineRule="auto"/>
              <w:jc w:val="left"/>
              <w:rPr>
                <w:rFonts w:ascii="仿宋" w:hAnsi="仿宋" w:eastAsia="仿宋" w:cs="Times New Roman"/>
                <w:color w:val="auto"/>
                <w:sz w:val="24"/>
                <w:szCs w:val="24"/>
                <w:highlight w:val="none"/>
              </w:rPr>
            </w:pPr>
          </w:p>
        </w:tc>
      </w:tr>
      <w:tr w14:paraId="0C30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15CD6A64">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5202E29C">
            <w:pPr>
              <w:spacing w:line="360" w:lineRule="auto"/>
              <w:jc w:val="left"/>
              <w:rPr>
                <w:rFonts w:ascii="仿宋" w:hAnsi="仿宋" w:eastAsia="仿宋" w:cs="Times New Roman"/>
                <w:color w:val="auto"/>
                <w:sz w:val="24"/>
                <w:szCs w:val="24"/>
                <w:highlight w:val="none"/>
              </w:rPr>
            </w:pPr>
          </w:p>
        </w:tc>
        <w:tc>
          <w:tcPr>
            <w:tcW w:w="1095" w:type="pct"/>
            <w:vAlign w:val="center"/>
          </w:tcPr>
          <w:p w14:paraId="50AB2030">
            <w:pPr>
              <w:spacing w:line="360" w:lineRule="auto"/>
              <w:jc w:val="left"/>
              <w:rPr>
                <w:rFonts w:ascii="仿宋" w:hAnsi="仿宋" w:eastAsia="仿宋" w:cs="Times New Roman"/>
                <w:color w:val="auto"/>
                <w:sz w:val="24"/>
                <w:szCs w:val="24"/>
                <w:highlight w:val="none"/>
              </w:rPr>
            </w:pPr>
          </w:p>
        </w:tc>
        <w:tc>
          <w:tcPr>
            <w:tcW w:w="1413" w:type="pct"/>
            <w:vAlign w:val="center"/>
          </w:tcPr>
          <w:p w14:paraId="7A8B9A69">
            <w:pPr>
              <w:spacing w:line="360" w:lineRule="auto"/>
              <w:jc w:val="left"/>
              <w:rPr>
                <w:rFonts w:ascii="仿宋" w:hAnsi="仿宋" w:eastAsia="仿宋" w:cs="Times New Roman"/>
                <w:color w:val="auto"/>
                <w:sz w:val="24"/>
                <w:szCs w:val="24"/>
                <w:highlight w:val="none"/>
              </w:rPr>
            </w:pPr>
          </w:p>
        </w:tc>
        <w:tc>
          <w:tcPr>
            <w:tcW w:w="778" w:type="pct"/>
          </w:tcPr>
          <w:p w14:paraId="53386A79">
            <w:pPr>
              <w:spacing w:line="360" w:lineRule="auto"/>
              <w:jc w:val="left"/>
              <w:rPr>
                <w:rFonts w:ascii="仿宋" w:hAnsi="仿宋" w:eastAsia="仿宋" w:cs="Times New Roman"/>
                <w:color w:val="auto"/>
                <w:sz w:val="24"/>
                <w:szCs w:val="24"/>
                <w:highlight w:val="none"/>
              </w:rPr>
            </w:pPr>
          </w:p>
        </w:tc>
      </w:tr>
    </w:tbl>
    <w:p w14:paraId="7D42C6FC">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600E227E">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1.供应商提交的响应文件中与采购文件第三部分“项目需求”中的商务部分的要求，应逐条填列在偏离表中。</w:t>
      </w:r>
    </w:p>
    <w:p w14:paraId="11256142">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06EAE401">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5F0428C0">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5B24BBDC">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2B055603">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14:paraId="3B5F9482">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14:paraId="1A8BDBB4">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64D8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29562668">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6E34E50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067B646A">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采购文件要求的技术要求</w:t>
            </w:r>
          </w:p>
        </w:tc>
        <w:tc>
          <w:tcPr>
            <w:tcW w:w="1413" w:type="pct"/>
            <w:vAlign w:val="center"/>
          </w:tcPr>
          <w:p w14:paraId="5BEBA86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0C1790AC">
            <w:pPr>
              <w:spacing w:line="360" w:lineRule="auto"/>
              <w:jc w:val="center"/>
              <w:rPr>
                <w:rFonts w:ascii="仿宋" w:hAnsi="仿宋" w:eastAsia="仿宋" w:cs="Times New Roman"/>
                <w:color w:val="auto"/>
                <w:sz w:val="24"/>
                <w:szCs w:val="24"/>
                <w:highlight w:val="none"/>
              </w:rPr>
            </w:pPr>
          </w:p>
          <w:p w14:paraId="6D49A5F6">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22FD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7B26CD55">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1D86EBD1">
            <w:pPr>
              <w:spacing w:line="360" w:lineRule="auto"/>
              <w:jc w:val="left"/>
              <w:rPr>
                <w:rFonts w:ascii="仿宋" w:hAnsi="仿宋" w:eastAsia="仿宋" w:cs="Times New Roman"/>
                <w:color w:val="auto"/>
                <w:sz w:val="24"/>
                <w:szCs w:val="24"/>
                <w:highlight w:val="none"/>
              </w:rPr>
            </w:pPr>
          </w:p>
        </w:tc>
        <w:tc>
          <w:tcPr>
            <w:tcW w:w="1095" w:type="pct"/>
            <w:vAlign w:val="center"/>
          </w:tcPr>
          <w:p w14:paraId="2D83E70B">
            <w:pPr>
              <w:spacing w:line="360" w:lineRule="auto"/>
              <w:jc w:val="left"/>
              <w:rPr>
                <w:rFonts w:ascii="仿宋" w:hAnsi="仿宋" w:eastAsia="仿宋" w:cs="Times New Roman"/>
                <w:color w:val="auto"/>
                <w:sz w:val="24"/>
                <w:szCs w:val="24"/>
                <w:highlight w:val="none"/>
              </w:rPr>
            </w:pPr>
          </w:p>
        </w:tc>
        <w:tc>
          <w:tcPr>
            <w:tcW w:w="1413" w:type="pct"/>
            <w:vAlign w:val="center"/>
          </w:tcPr>
          <w:p w14:paraId="175732A0">
            <w:pPr>
              <w:spacing w:line="360" w:lineRule="auto"/>
              <w:jc w:val="left"/>
              <w:rPr>
                <w:rFonts w:ascii="仿宋" w:hAnsi="仿宋" w:eastAsia="仿宋" w:cs="Times New Roman"/>
                <w:color w:val="auto"/>
                <w:sz w:val="24"/>
                <w:szCs w:val="24"/>
                <w:highlight w:val="none"/>
              </w:rPr>
            </w:pPr>
          </w:p>
        </w:tc>
        <w:tc>
          <w:tcPr>
            <w:tcW w:w="778" w:type="pct"/>
          </w:tcPr>
          <w:p w14:paraId="2567E5E0">
            <w:pPr>
              <w:spacing w:line="360" w:lineRule="auto"/>
              <w:jc w:val="left"/>
              <w:rPr>
                <w:rFonts w:ascii="仿宋" w:hAnsi="仿宋" w:eastAsia="仿宋" w:cs="Times New Roman"/>
                <w:color w:val="auto"/>
                <w:sz w:val="24"/>
                <w:szCs w:val="24"/>
                <w:highlight w:val="none"/>
              </w:rPr>
            </w:pPr>
          </w:p>
        </w:tc>
      </w:tr>
      <w:tr w14:paraId="12FB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141B0B8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636F853C">
            <w:pPr>
              <w:spacing w:line="360" w:lineRule="auto"/>
              <w:jc w:val="left"/>
              <w:rPr>
                <w:rFonts w:ascii="仿宋" w:hAnsi="仿宋" w:eastAsia="仿宋" w:cs="Times New Roman"/>
                <w:color w:val="auto"/>
                <w:sz w:val="24"/>
                <w:szCs w:val="24"/>
                <w:highlight w:val="none"/>
              </w:rPr>
            </w:pPr>
          </w:p>
        </w:tc>
        <w:tc>
          <w:tcPr>
            <w:tcW w:w="1095" w:type="pct"/>
            <w:vAlign w:val="center"/>
          </w:tcPr>
          <w:p w14:paraId="4E216902">
            <w:pPr>
              <w:spacing w:line="360" w:lineRule="auto"/>
              <w:jc w:val="left"/>
              <w:rPr>
                <w:rFonts w:ascii="仿宋" w:hAnsi="仿宋" w:eastAsia="仿宋" w:cs="Times New Roman"/>
                <w:color w:val="auto"/>
                <w:sz w:val="24"/>
                <w:szCs w:val="24"/>
                <w:highlight w:val="none"/>
              </w:rPr>
            </w:pPr>
          </w:p>
        </w:tc>
        <w:tc>
          <w:tcPr>
            <w:tcW w:w="1413" w:type="pct"/>
            <w:vAlign w:val="center"/>
          </w:tcPr>
          <w:p w14:paraId="020DD449">
            <w:pPr>
              <w:spacing w:line="360" w:lineRule="auto"/>
              <w:jc w:val="left"/>
              <w:rPr>
                <w:rFonts w:ascii="仿宋" w:hAnsi="仿宋" w:eastAsia="仿宋" w:cs="Times New Roman"/>
                <w:color w:val="auto"/>
                <w:sz w:val="24"/>
                <w:szCs w:val="24"/>
                <w:highlight w:val="none"/>
              </w:rPr>
            </w:pPr>
          </w:p>
        </w:tc>
        <w:tc>
          <w:tcPr>
            <w:tcW w:w="778" w:type="pct"/>
          </w:tcPr>
          <w:p w14:paraId="6B93D1BC">
            <w:pPr>
              <w:spacing w:line="360" w:lineRule="auto"/>
              <w:jc w:val="left"/>
              <w:rPr>
                <w:rFonts w:ascii="仿宋" w:hAnsi="仿宋" w:eastAsia="仿宋" w:cs="Times New Roman"/>
                <w:color w:val="auto"/>
                <w:sz w:val="24"/>
                <w:szCs w:val="24"/>
                <w:highlight w:val="none"/>
              </w:rPr>
            </w:pPr>
          </w:p>
        </w:tc>
      </w:tr>
      <w:tr w14:paraId="3B35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52E9553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6E1B7C03">
            <w:pPr>
              <w:spacing w:line="360" w:lineRule="auto"/>
              <w:jc w:val="left"/>
              <w:rPr>
                <w:rFonts w:ascii="仿宋" w:hAnsi="仿宋" w:eastAsia="仿宋" w:cs="Times New Roman"/>
                <w:color w:val="auto"/>
                <w:sz w:val="24"/>
                <w:szCs w:val="24"/>
                <w:highlight w:val="none"/>
              </w:rPr>
            </w:pPr>
          </w:p>
        </w:tc>
        <w:tc>
          <w:tcPr>
            <w:tcW w:w="1095" w:type="pct"/>
            <w:vAlign w:val="center"/>
          </w:tcPr>
          <w:p w14:paraId="025E32F8">
            <w:pPr>
              <w:spacing w:line="360" w:lineRule="auto"/>
              <w:jc w:val="left"/>
              <w:rPr>
                <w:rFonts w:ascii="仿宋" w:hAnsi="仿宋" w:eastAsia="仿宋" w:cs="Times New Roman"/>
                <w:color w:val="auto"/>
                <w:sz w:val="24"/>
                <w:szCs w:val="24"/>
                <w:highlight w:val="none"/>
              </w:rPr>
            </w:pPr>
          </w:p>
        </w:tc>
        <w:tc>
          <w:tcPr>
            <w:tcW w:w="1413" w:type="pct"/>
            <w:vAlign w:val="center"/>
          </w:tcPr>
          <w:p w14:paraId="4FBA09C1">
            <w:pPr>
              <w:spacing w:line="360" w:lineRule="auto"/>
              <w:jc w:val="left"/>
              <w:rPr>
                <w:rFonts w:ascii="仿宋" w:hAnsi="仿宋" w:eastAsia="仿宋" w:cs="Times New Roman"/>
                <w:color w:val="auto"/>
                <w:sz w:val="24"/>
                <w:szCs w:val="24"/>
                <w:highlight w:val="none"/>
              </w:rPr>
            </w:pPr>
          </w:p>
        </w:tc>
        <w:tc>
          <w:tcPr>
            <w:tcW w:w="778" w:type="pct"/>
          </w:tcPr>
          <w:p w14:paraId="1876A004">
            <w:pPr>
              <w:spacing w:line="360" w:lineRule="auto"/>
              <w:jc w:val="left"/>
              <w:rPr>
                <w:rFonts w:ascii="仿宋" w:hAnsi="仿宋" w:eastAsia="仿宋" w:cs="Times New Roman"/>
                <w:color w:val="auto"/>
                <w:sz w:val="24"/>
                <w:szCs w:val="24"/>
                <w:highlight w:val="none"/>
              </w:rPr>
            </w:pPr>
          </w:p>
        </w:tc>
      </w:tr>
      <w:tr w14:paraId="3DFE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2619527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785C3273">
            <w:pPr>
              <w:spacing w:line="360" w:lineRule="auto"/>
              <w:jc w:val="left"/>
              <w:rPr>
                <w:rFonts w:ascii="仿宋" w:hAnsi="仿宋" w:eastAsia="仿宋" w:cs="Times New Roman"/>
                <w:color w:val="auto"/>
                <w:sz w:val="24"/>
                <w:szCs w:val="24"/>
                <w:highlight w:val="none"/>
              </w:rPr>
            </w:pPr>
          </w:p>
        </w:tc>
        <w:tc>
          <w:tcPr>
            <w:tcW w:w="1095" w:type="pct"/>
            <w:vAlign w:val="center"/>
          </w:tcPr>
          <w:p w14:paraId="3EF7B097">
            <w:pPr>
              <w:spacing w:line="360" w:lineRule="auto"/>
              <w:jc w:val="left"/>
              <w:rPr>
                <w:rFonts w:ascii="仿宋" w:hAnsi="仿宋" w:eastAsia="仿宋" w:cs="Times New Roman"/>
                <w:color w:val="auto"/>
                <w:sz w:val="24"/>
                <w:szCs w:val="24"/>
                <w:highlight w:val="none"/>
              </w:rPr>
            </w:pPr>
          </w:p>
        </w:tc>
        <w:tc>
          <w:tcPr>
            <w:tcW w:w="1413" w:type="pct"/>
            <w:vAlign w:val="center"/>
          </w:tcPr>
          <w:p w14:paraId="45D1B929">
            <w:pPr>
              <w:spacing w:line="360" w:lineRule="auto"/>
              <w:jc w:val="left"/>
              <w:rPr>
                <w:rFonts w:ascii="仿宋" w:hAnsi="仿宋" w:eastAsia="仿宋" w:cs="Times New Roman"/>
                <w:color w:val="auto"/>
                <w:sz w:val="24"/>
                <w:szCs w:val="24"/>
                <w:highlight w:val="none"/>
              </w:rPr>
            </w:pPr>
          </w:p>
        </w:tc>
        <w:tc>
          <w:tcPr>
            <w:tcW w:w="778" w:type="pct"/>
          </w:tcPr>
          <w:p w14:paraId="6171D18E">
            <w:pPr>
              <w:spacing w:line="360" w:lineRule="auto"/>
              <w:jc w:val="left"/>
              <w:rPr>
                <w:rFonts w:ascii="仿宋" w:hAnsi="仿宋" w:eastAsia="仿宋" w:cs="Times New Roman"/>
                <w:color w:val="auto"/>
                <w:sz w:val="24"/>
                <w:szCs w:val="24"/>
                <w:highlight w:val="none"/>
              </w:rPr>
            </w:pPr>
          </w:p>
        </w:tc>
      </w:tr>
    </w:tbl>
    <w:p w14:paraId="550F5149">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50347BBA">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1.供应商提交的响应文件中与采购文件第三部分“项目需求”中的技术部分的要求，应逐条填列在偏离表中。</w:t>
      </w:r>
    </w:p>
    <w:p w14:paraId="78703D76">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635DD630">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3B1F462D">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1C7D7BAE">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66E1421">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14:paraId="25B3C879">
      <w:pPr>
        <w:widowControl/>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报价总表</w:t>
      </w:r>
    </w:p>
    <w:p w14:paraId="6A6D79BF">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2AF26866">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5FE6FEF5">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7DEEDDA4">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1C49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FDF2CA0">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货物名称</w:t>
            </w:r>
          </w:p>
        </w:tc>
        <w:tc>
          <w:tcPr>
            <w:tcW w:w="4607" w:type="dxa"/>
          </w:tcPr>
          <w:p w14:paraId="268EB09C">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总报价</w:t>
            </w:r>
          </w:p>
        </w:tc>
      </w:tr>
      <w:tr w14:paraId="27E9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53B5B23E">
            <w:pPr>
              <w:spacing w:line="360" w:lineRule="auto"/>
              <w:rPr>
                <w:rFonts w:ascii="仿宋" w:hAnsi="仿宋" w:eastAsia="仿宋" w:cs="Times New Roman"/>
                <w:color w:val="auto"/>
                <w:sz w:val="24"/>
                <w:szCs w:val="24"/>
                <w:highlight w:val="none"/>
              </w:rPr>
            </w:pPr>
          </w:p>
        </w:tc>
        <w:tc>
          <w:tcPr>
            <w:tcW w:w="4607" w:type="dxa"/>
          </w:tcPr>
          <w:p w14:paraId="24D737FC">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p>
          <w:p w14:paraId="0447860A">
            <w:pPr>
              <w:spacing w:line="360" w:lineRule="auto"/>
              <w:rPr>
                <w:rFonts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小写：</w:t>
            </w:r>
            <w:r>
              <w:rPr>
                <w:rFonts w:hint="eastAsia" w:ascii="仿宋" w:hAnsi="仿宋" w:eastAsia="仿宋" w:cs="宋体"/>
                <w:color w:val="auto"/>
                <w:kern w:val="0"/>
                <w:sz w:val="24"/>
                <w:szCs w:val="24"/>
                <w:highlight w:val="none"/>
                <w:lang w:val="en-US" w:eastAsia="zh-CN"/>
              </w:rPr>
              <w:t>元</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lang w:val="en-US" w:eastAsia="zh-CN"/>
              </w:rPr>
              <w:t>人民币</w:t>
            </w:r>
            <w:r>
              <w:rPr>
                <w:rFonts w:ascii="仿宋" w:hAnsi="仿宋" w:eastAsia="仿宋" w:cs="宋体"/>
                <w:color w:val="auto"/>
                <w:kern w:val="0"/>
                <w:sz w:val="24"/>
                <w:szCs w:val="24"/>
                <w:highlight w:val="none"/>
              </w:rPr>
              <w:t>）</w:t>
            </w:r>
          </w:p>
        </w:tc>
      </w:tr>
      <w:tr w14:paraId="142B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724AF3D">
            <w:pPr>
              <w:spacing w:line="360" w:lineRule="auto"/>
              <w:rPr>
                <w:rFonts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主要货物制造商及产地</w:t>
            </w:r>
          </w:p>
        </w:tc>
        <w:tc>
          <w:tcPr>
            <w:tcW w:w="4607" w:type="dxa"/>
          </w:tcPr>
          <w:p w14:paraId="0E88A073">
            <w:pPr>
              <w:spacing w:line="360" w:lineRule="auto"/>
              <w:rPr>
                <w:rFonts w:ascii="仿宋" w:hAnsi="仿宋" w:eastAsia="仿宋" w:cs="Times New Roman"/>
                <w:color w:val="auto"/>
                <w:sz w:val="24"/>
                <w:szCs w:val="24"/>
                <w:highlight w:val="none"/>
              </w:rPr>
            </w:pPr>
          </w:p>
        </w:tc>
      </w:tr>
      <w:tr w14:paraId="6C5E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5C9111AF">
            <w:pPr>
              <w:spacing w:line="360" w:lineRule="auto"/>
              <w:rPr>
                <w:rFonts w:ascii="仿宋" w:hAnsi="仿宋" w:eastAsia="仿宋" w:cs="Times New Roman"/>
                <w:color w:val="auto"/>
                <w:sz w:val="24"/>
                <w:szCs w:val="24"/>
                <w:highlight w:val="none"/>
              </w:rPr>
            </w:pPr>
          </w:p>
        </w:tc>
        <w:tc>
          <w:tcPr>
            <w:tcW w:w="4607" w:type="dxa"/>
          </w:tcPr>
          <w:p w14:paraId="26DCCE2E">
            <w:pPr>
              <w:spacing w:line="360" w:lineRule="auto"/>
              <w:rPr>
                <w:rFonts w:ascii="仿宋" w:hAnsi="仿宋" w:eastAsia="仿宋" w:cs="Times New Roman"/>
                <w:color w:val="auto"/>
                <w:sz w:val="24"/>
                <w:szCs w:val="24"/>
                <w:highlight w:val="none"/>
              </w:rPr>
            </w:pPr>
          </w:p>
        </w:tc>
      </w:tr>
    </w:tbl>
    <w:p w14:paraId="32194726">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3D233326">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44A1C8D6">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53A378ED">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32F8DE63">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F941C95">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14:paraId="4EA660A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b/>
          <w:bCs/>
          <w:color w:val="auto"/>
          <w:sz w:val="24"/>
          <w:szCs w:val="24"/>
          <w:highlight w:val="none"/>
        </w:rPr>
        <w:t>分项报价明细表（货物类）</w:t>
      </w:r>
    </w:p>
    <w:p w14:paraId="22505377">
      <w:pPr>
        <w:snapToGrid w:val="0"/>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1515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5623B1A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40" w:type="dxa"/>
            <w:vAlign w:val="center"/>
          </w:tcPr>
          <w:p w14:paraId="7FA7BF54">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211" w:type="dxa"/>
            <w:vAlign w:val="center"/>
          </w:tcPr>
          <w:p w14:paraId="4F44DE51">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规格型号</w:t>
            </w:r>
          </w:p>
        </w:tc>
        <w:tc>
          <w:tcPr>
            <w:tcW w:w="1276" w:type="dxa"/>
            <w:vAlign w:val="center"/>
          </w:tcPr>
          <w:p w14:paraId="41B1FD57">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品牌</w:t>
            </w:r>
          </w:p>
        </w:tc>
        <w:tc>
          <w:tcPr>
            <w:tcW w:w="992" w:type="dxa"/>
            <w:vAlign w:val="center"/>
          </w:tcPr>
          <w:p w14:paraId="44C7DD09">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单位</w:t>
            </w:r>
          </w:p>
        </w:tc>
        <w:tc>
          <w:tcPr>
            <w:tcW w:w="851" w:type="dxa"/>
            <w:vAlign w:val="center"/>
          </w:tcPr>
          <w:p w14:paraId="20FE5FF9">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数量</w:t>
            </w:r>
          </w:p>
        </w:tc>
        <w:tc>
          <w:tcPr>
            <w:tcW w:w="850" w:type="dxa"/>
            <w:vAlign w:val="center"/>
          </w:tcPr>
          <w:p w14:paraId="2D2B47C9">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单价</w:t>
            </w:r>
          </w:p>
        </w:tc>
        <w:tc>
          <w:tcPr>
            <w:tcW w:w="851" w:type="dxa"/>
            <w:vAlign w:val="center"/>
          </w:tcPr>
          <w:p w14:paraId="7C5EDD9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403" w:type="dxa"/>
            <w:vAlign w:val="center"/>
          </w:tcPr>
          <w:p w14:paraId="74667859">
            <w:pPr>
              <w:snapToGrid w:val="0"/>
              <w:spacing w:line="360" w:lineRule="auto"/>
              <w:ind w:firstLine="120" w:firstLineChars="5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504E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4C59D95B">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40" w:type="dxa"/>
            <w:vAlign w:val="center"/>
          </w:tcPr>
          <w:p w14:paraId="04AC4D57">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546B70D5">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2DC77AC3">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0D69CE75">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175B80F9">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1BFCEB6D">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0AD4607">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7BC6167F">
            <w:pPr>
              <w:snapToGrid w:val="0"/>
              <w:spacing w:line="360" w:lineRule="auto"/>
              <w:jc w:val="center"/>
              <w:rPr>
                <w:rFonts w:ascii="仿宋" w:hAnsi="仿宋" w:eastAsia="仿宋" w:cs="Times New Roman"/>
                <w:color w:val="auto"/>
                <w:sz w:val="24"/>
                <w:szCs w:val="24"/>
                <w:highlight w:val="none"/>
              </w:rPr>
            </w:pPr>
          </w:p>
        </w:tc>
      </w:tr>
      <w:tr w14:paraId="195E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17D7DB4C">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40" w:type="dxa"/>
            <w:vAlign w:val="center"/>
          </w:tcPr>
          <w:p w14:paraId="2A7F547D">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2A10A000">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178345C">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47943A20">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64866F46">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EAE59D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847CAE1">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62452A31">
            <w:pPr>
              <w:snapToGrid w:val="0"/>
              <w:spacing w:line="360" w:lineRule="auto"/>
              <w:jc w:val="center"/>
              <w:rPr>
                <w:rFonts w:ascii="仿宋" w:hAnsi="仿宋" w:eastAsia="仿宋" w:cs="Times New Roman"/>
                <w:color w:val="auto"/>
                <w:sz w:val="24"/>
                <w:szCs w:val="24"/>
                <w:highlight w:val="none"/>
              </w:rPr>
            </w:pPr>
          </w:p>
        </w:tc>
      </w:tr>
      <w:tr w14:paraId="57AB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10020665">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40" w:type="dxa"/>
            <w:vAlign w:val="center"/>
          </w:tcPr>
          <w:p w14:paraId="173038DF">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065B075A">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5FE0367A">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7E9D355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8B9D0D0">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33FF3F1D">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FE70289">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0259D01A">
            <w:pPr>
              <w:snapToGrid w:val="0"/>
              <w:spacing w:line="360" w:lineRule="auto"/>
              <w:jc w:val="center"/>
              <w:rPr>
                <w:rFonts w:ascii="仿宋" w:hAnsi="仿宋" w:eastAsia="仿宋" w:cs="Times New Roman"/>
                <w:color w:val="auto"/>
                <w:sz w:val="24"/>
                <w:szCs w:val="24"/>
                <w:highlight w:val="none"/>
              </w:rPr>
            </w:pPr>
          </w:p>
        </w:tc>
      </w:tr>
      <w:tr w14:paraId="2C21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3FFCEF53">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40" w:type="dxa"/>
            <w:vAlign w:val="center"/>
          </w:tcPr>
          <w:p w14:paraId="2AC38800">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538D8D39">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3DCF59E9">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6DBD616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7025C004">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7FD658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DCA0C34">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36EE345F">
            <w:pPr>
              <w:snapToGrid w:val="0"/>
              <w:spacing w:line="360" w:lineRule="auto"/>
              <w:jc w:val="center"/>
              <w:rPr>
                <w:rFonts w:ascii="仿宋" w:hAnsi="仿宋" w:eastAsia="仿宋" w:cs="Times New Roman"/>
                <w:color w:val="auto"/>
                <w:sz w:val="24"/>
                <w:szCs w:val="24"/>
                <w:highlight w:val="none"/>
              </w:rPr>
            </w:pPr>
          </w:p>
        </w:tc>
      </w:tr>
      <w:tr w14:paraId="16B4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1CE44B8D">
            <w:pPr>
              <w:snapToGrid w:val="0"/>
              <w:spacing w:line="360" w:lineRule="auto"/>
              <w:jc w:val="center"/>
              <w:rPr>
                <w:rFonts w:ascii="仿宋" w:hAnsi="仿宋" w:eastAsia="仿宋" w:cs="Times New Roman"/>
                <w:color w:val="auto"/>
                <w:sz w:val="24"/>
                <w:szCs w:val="24"/>
                <w:highlight w:val="none"/>
              </w:rPr>
            </w:pPr>
          </w:p>
        </w:tc>
        <w:tc>
          <w:tcPr>
            <w:tcW w:w="1340" w:type="dxa"/>
            <w:vAlign w:val="center"/>
          </w:tcPr>
          <w:p w14:paraId="560871A6">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3059C7EC">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16BD845A">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56CC762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780E8314">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EBB0387">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C88855E">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3F736810">
            <w:pPr>
              <w:snapToGrid w:val="0"/>
              <w:spacing w:line="360" w:lineRule="auto"/>
              <w:jc w:val="center"/>
              <w:rPr>
                <w:rFonts w:ascii="仿宋" w:hAnsi="仿宋" w:eastAsia="仿宋" w:cs="Times New Roman"/>
                <w:color w:val="auto"/>
                <w:sz w:val="24"/>
                <w:szCs w:val="24"/>
                <w:highlight w:val="none"/>
              </w:rPr>
            </w:pPr>
          </w:p>
        </w:tc>
      </w:tr>
      <w:tr w14:paraId="71EA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45AEECAB">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74" w:type="dxa"/>
            <w:gridSpan w:val="8"/>
            <w:vAlign w:val="center"/>
          </w:tcPr>
          <w:p w14:paraId="3269C269">
            <w:pPr>
              <w:snapToGrid w:val="0"/>
              <w:spacing w:line="360" w:lineRule="auto"/>
              <w:jc w:val="center"/>
              <w:rPr>
                <w:rFonts w:ascii="仿宋" w:hAnsi="仿宋" w:eastAsia="仿宋" w:cs="Times New Roman"/>
                <w:color w:val="auto"/>
                <w:sz w:val="24"/>
                <w:szCs w:val="24"/>
                <w:highlight w:val="none"/>
              </w:rPr>
            </w:pPr>
          </w:p>
        </w:tc>
      </w:tr>
    </w:tbl>
    <w:p w14:paraId="6922BAC1">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14:paraId="4A466346">
      <w:pPr>
        <w:widowControl/>
        <w:spacing w:line="360" w:lineRule="auto"/>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br w:type="page"/>
      </w:r>
    </w:p>
    <w:p w14:paraId="6A98FEC8">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w:t>
      </w:r>
      <w:r>
        <w:rPr>
          <w:rFonts w:hint="eastAsia" w:ascii="仿宋" w:hAnsi="仿宋" w:eastAsia="仿宋" w:cs="Times New Roman"/>
          <w:bCs/>
          <w:color w:val="auto"/>
          <w:sz w:val="24"/>
          <w:szCs w:val="24"/>
          <w:highlight w:val="none"/>
          <w:lang w:val="en-US" w:eastAsia="zh-CN" w:bidi="ar"/>
        </w:rPr>
        <w:t>9</w:t>
      </w:r>
    </w:p>
    <w:p w14:paraId="62524FE8">
      <w:pPr>
        <w:spacing w:line="360" w:lineRule="auto"/>
        <w:jc w:val="center"/>
        <w:rPr>
          <w:rFonts w:ascii="仿宋" w:hAnsi="仿宋" w:eastAsia="仿宋" w:cs="宋体"/>
          <w:b/>
          <w:color w:val="auto"/>
          <w:sz w:val="24"/>
          <w:szCs w:val="24"/>
          <w:highlight w:val="none"/>
          <w:lang w:bidi="ar"/>
        </w:rPr>
      </w:pPr>
      <w:bookmarkStart w:id="243" w:name="_Hlk130369611"/>
      <w:r>
        <w:rPr>
          <w:rFonts w:hint="eastAsia" w:ascii="仿宋" w:hAnsi="仿宋" w:eastAsia="仿宋" w:cs="宋体"/>
          <w:b/>
          <w:color w:val="auto"/>
          <w:sz w:val="24"/>
          <w:szCs w:val="24"/>
          <w:highlight w:val="none"/>
          <w:lang w:bidi="ar"/>
        </w:rPr>
        <w:t>供应商信用承诺书</w:t>
      </w:r>
    </w:p>
    <w:bookmarkEnd w:id="243"/>
    <w:p w14:paraId="60A6BC35">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14:paraId="39686F9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5C4BE0A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二、严格依照国家和省、市、县关于政府采购等方面的法律、法规、规章、规范性文件，参加投标活动；积极履行社会责任，促进廉政建设；</w:t>
      </w:r>
    </w:p>
    <w:p w14:paraId="3B6E2C9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41A320B1">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四、如发生违法违规或不良行为或存在其他法律法规对招标投标行为予以限制的情形，自愿接受政府采购有关行政监督部门依法给予的行政处罚（处理），并依法承担相应的法律责任；</w:t>
      </w:r>
    </w:p>
    <w:p w14:paraId="19167FCA">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14:paraId="6C9BE723">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14:paraId="6A9862C2">
      <w:pPr>
        <w:spacing w:line="360" w:lineRule="auto"/>
        <w:ind w:firstLine="482" w:firstLineChars="200"/>
        <w:rPr>
          <w:rFonts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14:paraId="38E474B3">
      <w:pPr>
        <w:spacing w:line="360" w:lineRule="auto"/>
        <w:ind w:firstLine="2640" w:firstLineChars="1100"/>
        <w:rPr>
          <w:rFonts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14:paraId="73A6A1EC">
      <w:pPr>
        <w:spacing w:line="360" w:lineRule="auto"/>
        <w:ind w:firstLine="2640" w:firstLineChars="1100"/>
        <w:rPr>
          <w:rFonts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14:paraId="29D380DB">
      <w:pPr>
        <w:spacing w:line="360" w:lineRule="auto"/>
        <w:ind w:firstLine="2640" w:firstLineChars="11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14:paraId="6C95D2B5">
      <w:pPr>
        <w:widowControl/>
        <w:spacing w:line="360" w:lineRule="auto"/>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7DC3BD0B">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附件1</w:t>
      </w:r>
      <w:r>
        <w:rPr>
          <w:rFonts w:hint="eastAsia" w:ascii="仿宋" w:hAnsi="仿宋" w:eastAsia="仿宋" w:cs="Times New Roman"/>
          <w:bCs/>
          <w:color w:val="auto"/>
          <w:sz w:val="24"/>
          <w:szCs w:val="24"/>
          <w:highlight w:val="none"/>
          <w:lang w:val="en-US" w:eastAsia="zh-CN" w:bidi="ar"/>
        </w:rPr>
        <w:t>0</w:t>
      </w:r>
    </w:p>
    <w:p w14:paraId="5B7655F8">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14:paraId="6177C5BB">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14:paraId="63CEE5F0">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14:paraId="156D21B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6AF7FBF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14:paraId="3D639CC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14:paraId="531BD70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14:paraId="25AA20D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4D0D525E">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14:paraId="7F97B218">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14:paraId="0933BAA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14:paraId="038914F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14:paraId="62233504">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14:paraId="0078AA90">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14:paraId="4D882F97">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14:paraId="317FE1E9">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14:paraId="38AE3D8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14:paraId="4A96D7D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14:paraId="0FF0E238">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14:paraId="3C590B99">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14:paraId="358BA9A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14:paraId="37998AA4">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14:paraId="6143CC58">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14:paraId="43C2E303">
      <w:pPr>
        <w:spacing w:line="360" w:lineRule="auto"/>
        <w:rPr>
          <w:rFonts w:ascii="仿宋" w:hAnsi="仿宋" w:eastAsia="仿宋" w:cs="宋体"/>
          <w:color w:val="auto"/>
          <w:kern w:val="0"/>
          <w:sz w:val="24"/>
          <w:szCs w:val="24"/>
          <w:highlight w:val="none"/>
          <w:lang w:val="zh-CN" w:bidi="ar"/>
        </w:rPr>
      </w:pPr>
    </w:p>
    <w:p w14:paraId="570E319D">
      <w:pPr>
        <w:spacing w:line="360" w:lineRule="auto"/>
        <w:rPr>
          <w:rFonts w:ascii="仿宋" w:hAnsi="仿宋" w:eastAsia="仿宋" w:cs="宋体"/>
          <w:color w:val="auto"/>
          <w:kern w:val="0"/>
          <w:sz w:val="24"/>
          <w:szCs w:val="24"/>
          <w:highlight w:val="none"/>
          <w:lang w:val="zh-CN" w:bidi="ar"/>
        </w:rPr>
      </w:pPr>
    </w:p>
    <w:p w14:paraId="24D52535">
      <w:pPr>
        <w:spacing w:line="360" w:lineRule="auto"/>
        <w:rPr>
          <w:rFonts w:ascii="仿宋" w:hAnsi="仿宋" w:eastAsia="仿宋" w:cs="宋体"/>
          <w:color w:val="auto"/>
          <w:kern w:val="0"/>
          <w:sz w:val="24"/>
          <w:szCs w:val="24"/>
          <w:highlight w:val="none"/>
          <w:lang w:val="zh-CN" w:bidi="ar"/>
        </w:rPr>
      </w:pPr>
    </w:p>
    <w:p w14:paraId="0EE30FF0">
      <w:pPr>
        <w:spacing w:line="360" w:lineRule="auto"/>
        <w:rPr>
          <w:rFonts w:ascii="仿宋" w:hAnsi="仿宋" w:eastAsia="仿宋" w:cs="宋体"/>
          <w:color w:val="auto"/>
          <w:kern w:val="0"/>
          <w:sz w:val="24"/>
          <w:szCs w:val="24"/>
          <w:highlight w:val="none"/>
          <w:lang w:val="zh-CN" w:bidi="ar"/>
        </w:rPr>
      </w:pPr>
    </w:p>
    <w:p w14:paraId="560F6323">
      <w:pPr>
        <w:spacing w:line="360" w:lineRule="auto"/>
        <w:rPr>
          <w:rFonts w:ascii="仿宋" w:hAnsi="仿宋" w:eastAsia="仿宋" w:cs="宋体"/>
          <w:color w:val="auto"/>
          <w:kern w:val="0"/>
          <w:sz w:val="24"/>
          <w:szCs w:val="24"/>
          <w:highlight w:val="none"/>
          <w:lang w:val="zh-CN" w:bidi="ar"/>
        </w:rPr>
      </w:pPr>
    </w:p>
    <w:p w14:paraId="58130BF1">
      <w:pPr>
        <w:spacing w:line="360" w:lineRule="auto"/>
        <w:rPr>
          <w:rFonts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14:paraId="455632A2">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14:paraId="01CC431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5117B4">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14:paraId="1785207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14:paraId="0763D68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14:paraId="417F5EF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p>
    <w:p w14:paraId="54B577DA">
      <w:pPr>
        <w:spacing w:line="360" w:lineRule="auto"/>
        <w:ind w:firstLine="480" w:firstLineChars="200"/>
        <w:rPr>
          <w:rFonts w:ascii="仿宋" w:hAnsi="仿宋" w:eastAsia="仿宋" w:cs="宋体"/>
          <w:color w:val="auto"/>
          <w:kern w:val="0"/>
          <w:sz w:val="24"/>
          <w:szCs w:val="24"/>
          <w:highlight w:val="none"/>
          <w:lang w:val="zh-CN" w:bidi="ar"/>
        </w:rPr>
      </w:pPr>
    </w:p>
    <w:p w14:paraId="3D469E0C">
      <w:pPr>
        <w:widowControl/>
        <w:spacing w:line="360" w:lineRule="auto"/>
        <w:jc w:val="left"/>
        <w:rPr>
          <w:rFonts w:ascii="仿宋" w:hAnsi="仿宋" w:eastAsia="仿宋"/>
          <w:color w:val="auto"/>
          <w:sz w:val="24"/>
          <w:szCs w:val="24"/>
          <w:highlight w:val="none"/>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B7F1B6-8E3F-44FC-8412-8A98437A0F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E01B400-4E09-48BB-ABB2-ED1DA880FEDC}"/>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84C4B56F-AAB9-40AD-AA19-4C22374E2217}"/>
  </w:font>
  <w:font w:name="楷体_GB2312">
    <w:altName w:val="楷体"/>
    <w:panose1 w:val="00000000000000000000"/>
    <w:charset w:val="00"/>
    <w:family w:val="auto"/>
    <w:pitch w:val="default"/>
    <w:sig w:usb0="00000000" w:usb1="00000000" w:usb2="00000000" w:usb3="00000000" w:csb0="00000000" w:csb1="00000000"/>
    <w:embedRegular r:id="rId4" w:fontKey="{2E767873-7B78-46F2-A636-880BDAE294FA}"/>
  </w:font>
  <w:font w:name="楷体">
    <w:panose1 w:val="02010609060101010101"/>
    <w:charset w:val="86"/>
    <w:family w:val="auto"/>
    <w:pitch w:val="default"/>
    <w:sig w:usb0="800002BF" w:usb1="38CF7CFA" w:usb2="00000016" w:usb3="00000000" w:csb0="00040001"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067A7DC5">
            <w:pPr>
              <w:pStyle w:val="11"/>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ODFhZjUxYTVjMTYyMGMzMTc1OTcyZjFlNGM0NWEifQ=="/>
  </w:docVars>
  <w:rsids>
    <w:rsidRoot w:val="000E6F62"/>
    <w:rsid w:val="0000098A"/>
    <w:rsid w:val="000021B4"/>
    <w:rsid w:val="00004E97"/>
    <w:rsid w:val="00005798"/>
    <w:rsid w:val="00006097"/>
    <w:rsid w:val="00013918"/>
    <w:rsid w:val="00013DCD"/>
    <w:rsid w:val="00014E20"/>
    <w:rsid w:val="00015B78"/>
    <w:rsid w:val="00020E06"/>
    <w:rsid w:val="00022DCC"/>
    <w:rsid w:val="00027DF4"/>
    <w:rsid w:val="00031B49"/>
    <w:rsid w:val="0003374E"/>
    <w:rsid w:val="00033EE4"/>
    <w:rsid w:val="00036BEA"/>
    <w:rsid w:val="00036F61"/>
    <w:rsid w:val="00040ADA"/>
    <w:rsid w:val="00047C97"/>
    <w:rsid w:val="00050DB4"/>
    <w:rsid w:val="000518D6"/>
    <w:rsid w:val="0005407A"/>
    <w:rsid w:val="00055922"/>
    <w:rsid w:val="00057092"/>
    <w:rsid w:val="000575C2"/>
    <w:rsid w:val="00063A5B"/>
    <w:rsid w:val="00063C87"/>
    <w:rsid w:val="00075A32"/>
    <w:rsid w:val="00080100"/>
    <w:rsid w:val="00082610"/>
    <w:rsid w:val="00086D68"/>
    <w:rsid w:val="0009178F"/>
    <w:rsid w:val="00092534"/>
    <w:rsid w:val="00096B3F"/>
    <w:rsid w:val="000A05EE"/>
    <w:rsid w:val="000A3992"/>
    <w:rsid w:val="000A41B4"/>
    <w:rsid w:val="000B3511"/>
    <w:rsid w:val="000B5552"/>
    <w:rsid w:val="000B5C05"/>
    <w:rsid w:val="000C2A5B"/>
    <w:rsid w:val="000C5004"/>
    <w:rsid w:val="000D2FB9"/>
    <w:rsid w:val="000D395B"/>
    <w:rsid w:val="000E0DB6"/>
    <w:rsid w:val="000E0E7A"/>
    <w:rsid w:val="000E6F62"/>
    <w:rsid w:val="000F1CD4"/>
    <w:rsid w:val="000F4D77"/>
    <w:rsid w:val="000F6D21"/>
    <w:rsid w:val="001033D4"/>
    <w:rsid w:val="00104F3A"/>
    <w:rsid w:val="00105E58"/>
    <w:rsid w:val="001105BE"/>
    <w:rsid w:val="0011100F"/>
    <w:rsid w:val="00111362"/>
    <w:rsid w:val="001113EE"/>
    <w:rsid w:val="00111BCB"/>
    <w:rsid w:val="0011268C"/>
    <w:rsid w:val="0011379A"/>
    <w:rsid w:val="0011414A"/>
    <w:rsid w:val="00121F78"/>
    <w:rsid w:val="00122266"/>
    <w:rsid w:val="00124729"/>
    <w:rsid w:val="00125111"/>
    <w:rsid w:val="00126B62"/>
    <w:rsid w:val="001336FE"/>
    <w:rsid w:val="001370AA"/>
    <w:rsid w:val="00142439"/>
    <w:rsid w:val="001464D8"/>
    <w:rsid w:val="00150486"/>
    <w:rsid w:val="0015162F"/>
    <w:rsid w:val="001559F8"/>
    <w:rsid w:val="00155CE2"/>
    <w:rsid w:val="00161281"/>
    <w:rsid w:val="00161BF1"/>
    <w:rsid w:val="00162B68"/>
    <w:rsid w:val="001666EB"/>
    <w:rsid w:val="001668B9"/>
    <w:rsid w:val="00170854"/>
    <w:rsid w:val="001713C6"/>
    <w:rsid w:val="001722E3"/>
    <w:rsid w:val="00174A37"/>
    <w:rsid w:val="00175215"/>
    <w:rsid w:val="00175C52"/>
    <w:rsid w:val="00177D2B"/>
    <w:rsid w:val="001822BA"/>
    <w:rsid w:val="001853E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4E7"/>
    <w:rsid w:val="001E36E4"/>
    <w:rsid w:val="001E610D"/>
    <w:rsid w:val="001E66C7"/>
    <w:rsid w:val="001E6ABF"/>
    <w:rsid w:val="001E759A"/>
    <w:rsid w:val="001E7C03"/>
    <w:rsid w:val="00201184"/>
    <w:rsid w:val="00203DF2"/>
    <w:rsid w:val="00204702"/>
    <w:rsid w:val="00210990"/>
    <w:rsid w:val="00220170"/>
    <w:rsid w:val="00221D85"/>
    <w:rsid w:val="00222FBA"/>
    <w:rsid w:val="00225C7D"/>
    <w:rsid w:val="002273FD"/>
    <w:rsid w:val="0023042F"/>
    <w:rsid w:val="00232F01"/>
    <w:rsid w:val="00233560"/>
    <w:rsid w:val="00233FE1"/>
    <w:rsid w:val="00235089"/>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34A0"/>
    <w:rsid w:val="0028408A"/>
    <w:rsid w:val="00284659"/>
    <w:rsid w:val="00286315"/>
    <w:rsid w:val="00287BC2"/>
    <w:rsid w:val="00290C3E"/>
    <w:rsid w:val="00297678"/>
    <w:rsid w:val="002A0E45"/>
    <w:rsid w:val="002A5092"/>
    <w:rsid w:val="002D014C"/>
    <w:rsid w:val="002D0159"/>
    <w:rsid w:val="002D2023"/>
    <w:rsid w:val="002D308A"/>
    <w:rsid w:val="002D41FF"/>
    <w:rsid w:val="002E0858"/>
    <w:rsid w:val="002E1561"/>
    <w:rsid w:val="002E71EE"/>
    <w:rsid w:val="002E7CB3"/>
    <w:rsid w:val="003038AA"/>
    <w:rsid w:val="00306363"/>
    <w:rsid w:val="00307902"/>
    <w:rsid w:val="0031285E"/>
    <w:rsid w:val="00315DDB"/>
    <w:rsid w:val="00317BB1"/>
    <w:rsid w:val="00317E31"/>
    <w:rsid w:val="003202A5"/>
    <w:rsid w:val="00320D57"/>
    <w:rsid w:val="00324B9A"/>
    <w:rsid w:val="00325C54"/>
    <w:rsid w:val="00326203"/>
    <w:rsid w:val="00331487"/>
    <w:rsid w:val="003314C2"/>
    <w:rsid w:val="00334536"/>
    <w:rsid w:val="00334DA9"/>
    <w:rsid w:val="00337579"/>
    <w:rsid w:val="00342634"/>
    <w:rsid w:val="00347A5A"/>
    <w:rsid w:val="0036139F"/>
    <w:rsid w:val="0036715D"/>
    <w:rsid w:val="003672DB"/>
    <w:rsid w:val="003700F4"/>
    <w:rsid w:val="00372164"/>
    <w:rsid w:val="003743E7"/>
    <w:rsid w:val="00374C1B"/>
    <w:rsid w:val="003759EC"/>
    <w:rsid w:val="00375B89"/>
    <w:rsid w:val="00376A45"/>
    <w:rsid w:val="00377622"/>
    <w:rsid w:val="003862A9"/>
    <w:rsid w:val="00392718"/>
    <w:rsid w:val="00392ADA"/>
    <w:rsid w:val="00392E5B"/>
    <w:rsid w:val="003930C1"/>
    <w:rsid w:val="003A1C33"/>
    <w:rsid w:val="003A6A4F"/>
    <w:rsid w:val="003B4D50"/>
    <w:rsid w:val="003C6652"/>
    <w:rsid w:val="003C7835"/>
    <w:rsid w:val="003D594B"/>
    <w:rsid w:val="003E02A1"/>
    <w:rsid w:val="003E3426"/>
    <w:rsid w:val="003F083D"/>
    <w:rsid w:val="003F231F"/>
    <w:rsid w:val="00401F5D"/>
    <w:rsid w:val="0040225D"/>
    <w:rsid w:val="00403B80"/>
    <w:rsid w:val="00407863"/>
    <w:rsid w:val="004135A5"/>
    <w:rsid w:val="00416009"/>
    <w:rsid w:val="004164E4"/>
    <w:rsid w:val="004204C9"/>
    <w:rsid w:val="00421B7B"/>
    <w:rsid w:val="00423225"/>
    <w:rsid w:val="004341FD"/>
    <w:rsid w:val="00434385"/>
    <w:rsid w:val="004400FF"/>
    <w:rsid w:val="004437C6"/>
    <w:rsid w:val="00443B99"/>
    <w:rsid w:val="00447F2B"/>
    <w:rsid w:val="004601D7"/>
    <w:rsid w:val="00467212"/>
    <w:rsid w:val="004721D5"/>
    <w:rsid w:val="004740D5"/>
    <w:rsid w:val="004751B1"/>
    <w:rsid w:val="00476E76"/>
    <w:rsid w:val="00476F77"/>
    <w:rsid w:val="00482923"/>
    <w:rsid w:val="004829F7"/>
    <w:rsid w:val="00486452"/>
    <w:rsid w:val="00494F68"/>
    <w:rsid w:val="004A115E"/>
    <w:rsid w:val="004A2204"/>
    <w:rsid w:val="004A511A"/>
    <w:rsid w:val="004A557C"/>
    <w:rsid w:val="004B06C2"/>
    <w:rsid w:val="004B37AE"/>
    <w:rsid w:val="004B622B"/>
    <w:rsid w:val="004C43F3"/>
    <w:rsid w:val="004C7045"/>
    <w:rsid w:val="004D14F1"/>
    <w:rsid w:val="004D2635"/>
    <w:rsid w:val="004D469A"/>
    <w:rsid w:val="004D4E65"/>
    <w:rsid w:val="004D6C61"/>
    <w:rsid w:val="004D7E61"/>
    <w:rsid w:val="004E1EB9"/>
    <w:rsid w:val="004E28E0"/>
    <w:rsid w:val="004E3AB1"/>
    <w:rsid w:val="004E42DF"/>
    <w:rsid w:val="004E58DC"/>
    <w:rsid w:val="004E5B84"/>
    <w:rsid w:val="004F2EAC"/>
    <w:rsid w:val="004F4C67"/>
    <w:rsid w:val="004F7F2F"/>
    <w:rsid w:val="00503209"/>
    <w:rsid w:val="00503A0C"/>
    <w:rsid w:val="00505F22"/>
    <w:rsid w:val="0051378A"/>
    <w:rsid w:val="00514FB2"/>
    <w:rsid w:val="005201FA"/>
    <w:rsid w:val="00524270"/>
    <w:rsid w:val="00524FB0"/>
    <w:rsid w:val="00527624"/>
    <w:rsid w:val="00532A6C"/>
    <w:rsid w:val="00536B36"/>
    <w:rsid w:val="005424AE"/>
    <w:rsid w:val="005444C5"/>
    <w:rsid w:val="00544B8F"/>
    <w:rsid w:val="0054629F"/>
    <w:rsid w:val="00546F31"/>
    <w:rsid w:val="005612A7"/>
    <w:rsid w:val="00561EFF"/>
    <w:rsid w:val="005622F6"/>
    <w:rsid w:val="00564475"/>
    <w:rsid w:val="005653B6"/>
    <w:rsid w:val="00566096"/>
    <w:rsid w:val="0057011D"/>
    <w:rsid w:val="00571081"/>
    <w:rsid w:val="00572285"/>
    <w:rsid w:val="00572EBD"/>
    <w:rsid w:val="00573AB3"/>
    <w:rsid w:val="0057483E"/>
    <w:rsid w:val="00575544"/>
    <w:rsid w:val="00577F45"/>
    <w:rsid w:val="00587C6A"/>
    <w:rsid w:val="00591B9F"/>
    <w:rsid w:val="005930C7"/>
    <w:rsid w:val="005A1859"/>
    <w:rsid w:val="005A5307"/>
    <w:rsid w:val="005A6FA6"/>
    <w:rsid w:val="005B3CB3"/>
    <w:rsid w:val="005B7637"/>
    <w:rsid w:val="005C0B6A"/>
    <w:rsid w:val="005C2067"/>
    <w:rsid w:val="005C28A8"/>
    <w:rsid w:val="005D7B1E"/>
    <w:rsid w:val="005F046F"/>
    <w:rsid w:val="005F375E"/>
    <w:rsid w:val="005F5707"/>
    <w:rsid w:val="005F78A6"/>
    <w:rsid w:val="006012FB"/>
    <w:rsid w:val="006016D7"/>
    <w:rsid w:val="00604DDE"/>
    <w:rsid w:val="00605498"/>
    <w:rsid w:val="00607375"/>
    <w:rsid w:val="00614E51"/>
    <w:rsid w:val="00615533"/>
    <w:rsid w:val="006165F5"/>
    <w:rsid w:val="006213BD"/>
    <w:rsid w:val="00621708"/>
    <w:rsid w:val="00622680"/>
    <w:rsid w:val="00622E05"/>
    <w:rsid w:val="006236FA"/>
    <w:rsid w:val="00626E09"/>
    <w:rsid w:val="00626ECF"/>
    <w:rsid w:val="00627DE4"/>
    <w:rsid w:val="00630181"/>
    <w:rsid w:val="00631C94"/>
    <w:rsid w:val="0063267B"/>
    <w:rsid w:val="0063654D"/>
    <w:rsid w:val="00641309"/>
    <w:rsid w:val="00643D29"/>
    <w:rsid w:val="006448DA"/>
    <w:rsid w:val="00646012"/>
    <w:rsid w:val="006571F6"/>
    <w:rsid w:val="006572DD"/>
    <w:rsid w:val="006640AB"/>
    <w:rsid w:val="0067446B"/>
    <w:rsid w:val="00687070"/>
    <w:rsid w:val="00692F88"/>
    <w:rsid w:val="00695908"/>
    <w:rsid w:val="006A0549"/>
    <w:rsid w:val="006A0827"/>
    <w:rsid w:val="006A0CDD"/>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110F4"/>
    <w:rsid w:val="0071219F"/>
    <w:rsid w:val="007178A7"/>
    <w:rsid w:val="00720646"/>
    <w:rsid w:val="00723203"/>
    <w:rsid w:val="0072345F"/>
    <w:rsid w:val="0073019B"/>
    <w:rsid w:val="00732C6B"/>
    <w:rsid w:val="007339D9"/>
    <w:rsid w:val="007359E8"/>
    <w:rsid w:val="00737F56"/>
    <w:rsid w:val="00743523"/>
    <w:rsid w:val="007534E0"/>
    <w:rsid w:val="00764502"/>
    <w:rsid w:val="00766B5B"/>
    <w:rsid w:val="00767C86"/>
    <w:rsid w:val="00770F07"/>
    <w:rsid w:val="007724B6"/>
    <w:rsid w:val="00773F66"/>
    <w:rsid w:val="00780216"/>
    <w:rsid w:val="00781E58"/>
    <w:rsid w:val="007840C5"/>
    <w:rsid w:val="0078482B"/>
    <w:rsid w:val="00784D05"/>
    <w:rsid w:val="00784F04"/>
    <w:rsid w:val="0078613B"/>
    <w:rsid w:val="007867E7"/>
    <w:rsid w:val="00791D27"/>
    <w:rsid w:val="00796C7D"/>
    <w:rsid w:val="007A16B1"/>
    <w:rsid w:val="007A572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588"/>
    <w:rsid w:val="007E7F1D"/>
    <w:rsid w:val="007F26AD"/>
    <w:rsid w:val="007F2C22"/>
    <w:rsid w:val="00801B1B"/>
    <w:rsid w:val="008060E0"/>
    <w:rsid w:val="008067BF"/>
    <w:rsid w:val="00806DAE"/>
    <w:rsid w:val="0080763E"/>
    <w:rsid w:val="00815013"/>
    <w:rsid w:val="008164B5"/>
    <w:rsid w:val="008243BB"/>
    <w:rsid w:val="0082443B"/>
    <w:rsid w:val="00825190"/>
    <w:rsid w:val="0082531E"/>
    <w:rsid w:val="00825F9F"/>
    <w:rsid w:val="008276FC"/>
    <w:rsid w:val="00832450"/>
    <w:rsid w:val="008330D5"/>
    <w:rsid w:val="00833518"/>
    <w:rsid w:val="00834248"/>
    <w:rsid w:val="0083614F"/>
    <w:rsid w:val="00837E07"/>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4A2C"/>
    <w:rsid w:val="00875ADF"/>
    <w:rsid w:val="00876A9D"/>
    <w:rsid w:val="00877649"/>
    <w:rsid w:val="00884A23"/>
    <w:rsid w:val="00886594"/>
    <w:rsid w:val="00890951"/>
    <w:rsid w:val="0089454B"/>
    <w:rsid w:val="0089647F"/>
    <w:rsid w:val="00897B47"/>
    <w:rsid w:val="008A7857"/>
    <w:rsid w:val="008B3646"/>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1B0"/>
    <w:rsid w:val="008E04EE"/>
    <w:rsid w:val="008E30C1"/>
    <w:rsid w:val="008E4002"/>
    <w:rsid w:val="008F30BA"/>
    <w:rsid w:val="008F42B5"/>
    <w:rsid w:val="008F5251"/>
    <w:rsid w:val="008F6552"/>
    <w:rsid w:val="008F70DC"/>
    <w:rsid w:val="0090172A"/>
    <w:rsid w:val="00902875"/>
    <w:rsid w:val="009041D2"/>
    <w:rsid w:val="00905A84"/>
    <w:rsid w:val="00906406"/>
    <w:rsid w:val="00912166"/>
    <w:rsid w:val="00916B05"/>
    <w:rsid w:val="00916FBE"/>
    <w:rsid w:val="009170F0"/>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B7A76"/>
    <w:rsid w:val="009C066F"/>
    <w:rsid w:val="009C1EFB"/>
    <w:rsid w:val="009C39B5"/>
    <w:rsid w:val="009C3FD0"/>
    <w:rsid w:val="009C69B8"/>
    <w:rsid w:val="009D0385"/>
    <w:rsid w:val="009D2F43"/>
    <w:rsid w:val="009D789B"/>
    <w:rsid w:val="009E15DE"/>
    <w:rsid w:val="009E665C"/>
    <w:rsid w:val="009E7236"/>
    <w:rsid w:val="009F0D3B"/>
    <w:rsid w:val="009F25A4"/>
    <w:rsid w:val="009F3013"/>
    <w:rsid w:val="009F61B1"/>
    <w:rsid w:val="009F6CF6"/>
    <w:rsid w:val="00A005C3"/>
    <w:rsid w:val="00A018FE"/>
    <w:rsid w:val="00A159DA"/>
    <w:rsid w:val="00A260C2"/>
    <w:rsid w:val="00A30819"/>
    <w:rsid w:val="00A32BC0"/>
    <w:rsid w:val="00A34E21"/>
    <w:rsid w:val="00A40A09"/>
    <w:rsid w:val="00A41166"/>
    <w:rsid w:val="00A46329"/>
    <w:rsid w:val="00A474C0"/>
    <w:rsid w:val="00A521B4"/>
    <w:rsid w:val="00A53BA7"/>
    <w:rsid w:val="00A53EED"/>
    <w:rsid w:val="00A5409D"/>
    <w:rsid w:val="00A5745E"/>
    <w:rsid w:val="00A63D4B"/>
    <w:rsid w:val="00A73630"/>
    <w:rsid w:val="00A74AD2"/>
    <w:rsid w:val="00A76997"/>
    <w:rsid w:val="00A77047"/>
    <w:rsid w:val="00A7775A"/>
    <w:rsid w:val="00A77C58"/>
    <w:rsid w:val="00A83D2F"/>
    <w:rsid w:val="00A85D78"/>
    <w:rsid w:val="00A85EB1"/>
    <w:rsid w:val="00A92D91"/>
    <w:rsid w:val="00A93B3C"/>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5622"/>
    <w:rsid w:val="00B006CF"/>
    <w:rsid w:val="00B028AA"/>
    <w:rsid w:val="00B14810"/>
    <w:rsid w:val="00B23EE5"/>
    <w:rsid w:val="00B323E2"/>
    <w:rsid w:val="00B41900"/>
    <w:rsid w:val="00B42376"/>
    <w:rsid w:val="00B44EDD"/>
    <w:rsid w:val="00B4612C"/>
    <w:rsid w:val="00B47C12"/>
    <w:rsid w:val="00B51543"/>
    <w:rsid w:val="00B52A83"/>
    <w:rsid w:val="00B55B5C"/>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2E7D"/>
    <w:rsid w:val="00BA3116"/>
    <w:rsid w:val="00BA3CDB"/>
    <w:rsid w:val="00BB1DAA"/>
    <w:rsid w:val="00BB2C6E"/>
    <w:rsid w:val="00BC0523"/>
    <w:rsid w:val="00BC3426"/>
    <w:rsid w:val="00BC355B"/>
    <w:rsid w:val="00BD1D4D"/>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03D7"/>
    <w:rsid w:val="00C32B15"/>
    <w:rsid w:val="00C347B5"/>
    <w:rsid w:val="00C347D6"/>
    <w:rsid w:val="00C35588"/>
    <w:rsid w:val="00C36631"/>
    <w:rsid w:val="00C369CB"/>
    <w:rsid w:val="00C42032"/>
    <w:rsid w:val="00C4244E"/>
    <w:rsid w:val="00C4417F"/>
    <w:rsid w:val="00C4621D"/>
    <w:rsid w:val="00C46DB2"/>
    <w:rsid w:val="00C5037B"/>
    <w:rsid w:val="00C50F2E"/>
    <w:rsid w:val="00C556B3"/>
    <w:rsid w:val="00C5781A"/>
    <w:rsid w:val="00C57862"/>
    <w:rsid w:val="00C603FA"/>
    <w:rsid w:val="00C613F2"/>
    <w:rsid w:val="00C64542"/>
    <w:rsid w:val="00C65550"/>
    <w:rsid w:val="00C70F8C"/>
    <w:rsid w:val="00C7194C"/>
    <w:rsid w:val="00C71BD0"/>
    <w:rsid w:val="00C76506"/>
    <w:rsid w:val="00C7682D"/>
    <w:rsid w:val="00C76895"/>
    <w:rsid w:val="00C77C3C"/>
    <w:rsid w:val="00C83F63"/>
    <w:rsid w:val="00C90B18"/>
    <w:rsid w:val="00C90CDB"/>
    <w:rsid w:val="00C90CE3"/>
    <w:rsid w:val="00C93FFC"/>
    <w:rsid w:val="00C962B3"/>
    <w:rsid w:val="00CA03F1"/>
    <w:rsid w:val="00CA1D43"/>
    <w:rsid w:val="00CA72A2"/>
    <w:rsid w:val="00CB3542"/>
    <w:rsid w:val="00CB5046"/>
    <w:rsid w:val="00CC302C"/>
    <w:rsid w:val="00CC3F4A"/>
    <w:rsid w:val="00CD06F2"/>
    <w:rsid w:val="00CD3863"/>
    <w:rsid w:val="00CD42AB"/>
    <w:rsid w:val="00CD5E46"/>
    <w:rsid w:val="00CE61D9"/>
    <w:rsid w:val="00CE7AEA"/>
    <w:rsid w:val="00CF18D8"/>
    <w:rsid w:val="00CF2678"/>
    <w:rsid w:val="00CF712B"/>
    <w:rsid w:val="00D01815"/>
    <w:rsid w:val="00D14B9E"/>
    <w:rsid w:val="00D20998"/>
    <w:rsid w:val="00D21059"/>
    <w:rsid w:val="00D22D8E"/>
    <w:rsid w:val="00D24294"/>
    <w:rsid w:val="00D25F12"/>
    <w:rsid w:val="00D3087A"/>
    <w:rsid w:val="00D3420C"/>
    <w:rsid w:val="00D353F6"/>
    <w:rsid w:val="00D36AE4"/>
    <w:rsid w:val="00D3775B"/>
    <w:rsid w:val="00D41D56"/>
    <w:rsid w:val="00D4464A"/>
    <w:rsid w:val="00D45E59"/>
    <w:rsid w:val="00D47D18"/>
    <w:rsid w:val="00D521BB"/>
    <w:rsid w:val="00D5273E"/>
    <w:rsid w:val="00D54AAA"/>
    <w:rsid w:val="00D54EF4"/>
    <w:rsid w:val="00D60AA1"/>
    <w:rsid w:val="00D66B9E"/>
    <w:rsid w:val="00D70520"/>
    <w:rsid w:val="00D708F9"/>
    <w:rsid w:val="00D710C6"/>
    <w:rsid w:val="00D73179"/>
    <w:rsid w:val="00D75D02"/>
    <w:rsid w:val="00D76058"/>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407B"/>
    <w:rsid w:val="00DC541D"/>
    <w:rsid w:val="00DC7D58"/>
    <w:rsid w:val="00DD0607"/>
    <w:rsid w:val="00DD3DA2"/>
    <w:rsid w:val="00DD7796"/>
    <w:rsid w:val="00DE15AD"/>
    <w:rsid w:val="00DE538F"/>
    <w:rsid w:val="00DE54C8"/>
    <w:rsid w:val="00DF5C00"/>
    <w:rsid w:val="00E037E0"/>
    <w:rsid w:val="00E03C47"/>
    <w:rsid w:val="00E10A9C"/>
    <w:rsid w:val="00E10AFB"/>
    <w:rsid w:val="00E11219"/>
    <w:rsid w:val="00E11AB2"/>
    <w:rsid w:val="00E1338A"/>
    <w:rsid w:val="00E21667"/>
    <w:rsid w:val="00E313D4"/>
    <w:rsid w:val="00E3262A"/>
    <w:rsid w:val="00E33F48"/>
    <w:rsid w:val="00E35B07"/>
    <w:rsid w:val="00E35B28"/>
    <w:rsid w:val="00E36338"/>
    <w:rsid w:val="00E430B6"/>
    <w:rsid w:val="00E4357C"/>
    <w:rsid w:val="00E446C7"/>
    <w:rsid w:val="00E465D5"/>
    <w:rsid w:val="00E51437"/>
    <w:rsid w:val="00E514F0"/>
    <w:rsid w:val="00E566A3"/>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5564"/>
    <w:rsid w:val="00EB7844"/>
    <w:rsid w:val="00EC318E"/>
    <w:rsid w:val="00EC3BD0"/>
    <w:rsid w:val="00EC6850"/>
    <w:rsid w:val="00EC7553"/>
    <w:rsid w:val="00ED01CB"/>
    <w:rsid w:val="00ED0B56"/>
    <w:rsid w:val="00ED43E6"/>
    <w:rsid w:val="00ED4E84"/>
    <w:rsid w:val="00ED7744"/>
    <w:rsid w:val="00EE09A7"/>
    <w:rsid w:val="00EE19CC"/>
    <w:rsid w:val="00EF09C8"/>
    <w:rsid w:val="00EF4C0F"/>
    <w:rsid w:val="00F001C9"/>
    <w:rsid w:val="00F0621B"/>
    <w:rsid w:val="00F069EF"/>
    <w:rsid w:val="00F07319"/>
    <w:rsid w:val="00F1472B"/>
    <w:rsid w:val="00F15F1E"/>
    <w:rsid w:val="00F1649A"/>
    <w:rsid w:val="00F16D99"/>
    <w:rsid w:val="00F24AE3"/>
    <w:rsid w:val="00F2782A"/>
    <w:rsid w:val="00F34E22"/>
    <w:rsid w:val="00F461F5"/>
    <w:rsid w:val="00F46BB2"/>
    <w:rsid w:val="00F47367"/>
    <w:rsid w:val="00F568BF"/>
    <w:rsid w:val="00F61659"/>
    <w:rsid w:val="00F61926"/>
    <w:rsid w:val="00F62179"/>
    <w:rsid w:val="00F62F6A"/>
    <w:rsid w:val="00F63579"/>
    <w:rsid w:val="00F64E1C"/>
    <w:rsid w:val="00F670AF"/>
    <w:rsid w:val="00F70EDC"/>
    <w:rsid w:val="00F72FEA"/>
    <w:rsid w:val="00F730BB"/>
    <w:rsid w:val="00F82743"/>
    <w:rsid w:val="00F90D58"/>
    <w:rsid w:val="00F9115A"/>
    <w:rsid w:val="00FA362E"/>
    <w:rsid w:val="00FA6A59"/>
    <w:rsid w:val="00FA6B40"/>
    <w:rsid w:val="00FB01ED"/>
    <w:rsid w:val="00FB158B"/>
    <w:rsid w:val="00FB338C"/>
    <w:rsid w:val="00FB47FE"/>
    <w:rsid w:val="00FB5A4A"/>
    <w:rsid w:val="00FB6E6C"/>
    <w:rsid w:val="00FC5BF0"/>
    <w:rsid w:val="00FC6093"/>
    <w:rsid w:val="00FC7C14"/>
    <w:rsid w:val="00FC7C5B"/>
    <w:rsid w:val="00FD1210"/>
    <w:rsid w:val="00FD255B"/>
    <w:rsid w:val="00FD3D04"/>
    <w:rsid w:val="00FD423D"/>
    <w:rsid w:val="00FD44C0"/>
    <w:rsid w:val="00FD61D3"/>
    <w:rsid w:val="00FD6BF6"/>
    <w:rsid w:val="00FE2F3B"/>
    <w:rsid w:val="00FE31DF"/>
    <w:rsid w:val="00FE5C97"/>
    <w:rsid w:val="00FF03ED"/>
    <w:rsid w:val="00FF1D6C"/>
    <w:rsid w:val="00FF43D9"/>
    <w:rsid w:val="00FF4988"/>
    <w:rsid w:val="015C2B0C"/>
    <w:rsid w:val="037A7C3F"/>
    <w:rsid w:val="03F743E0"/>
    <w:rsid w:val="04926F71"/>
    <w:rsid w:val="061443BE"/>
    <w:rsid w:val="062A4F87"/>
    <w:rsid w:val="06853E73"/>
    <w:rsid w:val="06D33C28"/>
    <w:rsid w:val="07434552"/>
    <w:rsid w:val="08555F50"/>
    <w:rsid w:val="08C47915"/>
    <w:rsid w:val="09C33728"/>
    <w:rsid w:val="09F71624"/>
    <w:rsid w:val="0AB3379D"/>
    <w:rsid w:val="0AC22A01"/>
    <w:rsid w:val="0ADA51CD"/>
    <w:rsid w:val="0C171B1F"/>
    <w:rsid w:val="0DBE3513"/>
    <w:rsid w:val="0E990EFC"/>
    <w:rsid w:val="0EEA1757"/>
    <w:rsid w:val="0F0D2853"/>
    <w:rsid w:val="0FC91CB4"/>
    <w:rsid w:val="10142F30"/>
    <w:rsid w:val="10985698"/>
    <w:rsid w:val="10D208A1"/>
    <w:rsid w:val="127B3DF8"/>
    <w:rsid w:val="12A32349"/>
    <w:rsid w:val="15110C90"/>
    <w:rsid w:val="18170B01"/>
    <w:rsid w:val="18185587"/>
    <w:rsid w:val="185A794E"/>
    <w:rsid w:val="1BFE2FEB"/>
    <w:rsid w:val="1F5473D3"/>
    <w:rsid w:val="1F9C6A9E"/>
    <w:rsid w:val="1FA32974"/>
    <w:rsid w:val="21383D31"/>
    <w:rsid w:val="21D8518D"/>
    <w:rsid w:val="21ED538F"/>
    <w:rsid w:val="223B07F0"/>
    <w:rsid w:val="22D8603F"/>
    <w:rsid w:val="26426514"/>
    <w:rsid w:val="26E825C8"/>
    <w:rsid w:val="285D7C97"/>
    <w:rsid w:val="2A5D1D90"/>
    <w:rsid w:val="2AAD7DB1"/>
    <w:rsid w:val="2AB074C8"/>
    <w:rsid w:val="2C556210"/>
    <w:rsid w:val="2E212313"/>
    <w:rsid w:val="2F920F57"/>
    <w:rsid w:val="303538A8"/>
    <w:rsid w:val="31DC7CDA"/>
    <w:rsid w:val="32002EBC"/>
    <w:rsid w:val="343D03F7"/>
    <w:rsid w:val="35612F8E"/>
    <w:rsid w:val="35BF6BEA"/>
    <w:rsid w:val="372907BF"/>
    <w:rsid w:val="373B04F2"/>
    <w:rsid w:val="39792186"/>
    <w:rsid w:val="39DB7601"/>
    <w:rsid w:val="3A590557"/>
    <w:rsid w:val="3A8207E6"/>
    <w:rsid w:val="3E47158F"/>
    <w:rsid w:val="3F285767"/>
    <w:rsid w:val="41636FC4"/>
    <w:rsid w:val="42472441"/>
    <w:rsid w:val="43E75C8A"/>
    <w:rsid w:val="44A818BD"/>
    <w:rsid w:val="44E81CBA"/>
    <w:rsid w:val="45611A6C"/>
    <w:rsid w:val="459260C9"/>
    <w:rsid w:val="45CD44B8"/>
    <w:rsid w:val="48597044"/>
    <w:rsid w:val="48B77271"/>
    <w:rsid w:val="49423A80"/>
    <w:rsid w:val="4B5C6F5D"/>
    <w:rsid w:val="4C4B5AF1"/>
    <w:rsid w:val="4D037E58"/>
    <w:rsid w:val="4F7A2927"/>
    <w:rsid w:val="4FC21359"/>
    <w:rsid w:val="527752A8"/>
    <w:rsid w:val="57A75A04"/>
    <w:rsid w:val="57FD3876"/>
    <w:rsid w:val="58E42340"/>
    <w:rsid w:val="59527BF2"/>
    <w:rsid w:val="5B092532"/>
    <w:rsid w:val="5B242EC8"/>
    <w:rsid w:val="5B2D7FCE"/>
    <w:rsid w:val="5D5F28DD"/>
    <w:rsid w:val="5DC270D2"/>
    <w:rsid w:val="5FF4201D"/>
    <w:rsid w:val="63EB6C79"/>
    <w:rsid w:val="68D75A1D"/>
    <w:rsid w:val="69037BF2"/>
    <w:rsid w:val="690F6F65"/>
    <w:rsid w:val="69E825EA"/>
    <w:rsid w:val="6C0A4C2B"/>
    <w:rsid w:val="6DC9002B"/>
    <w:rsid w:val="704A4D27"/>
    <w:rsid w:val="70621CA1"/>
    <w:rsid w:val="7064403B"/>
    <w:rsid w:val="73125FD0"/>
    <w:rsid w:val="74FA31C0"/>
    <w:rsid w:val="75412B9C"/>
    <w:rsid w:val="75EF084A"/>
    <w:rsid w:val="76735E8F"/>
    <w:rsid w:val="78361857"/>
    <w:rsid w:val="78A376CA"/>
    <w:rsid w:val="78F30652"/>
    <w:rsid w:val="7A2D77E6"/>
    <w:rsid w:val="7CC43CC7"/>
    <w:rsid w:val="7CED53B8"/>
    <w:rsid w:val="7D9B19E9"/>
    <w:rsid w:val="7E017588"/>
    <w:rsid w:val="7E8D0C00"/>
    <w:rsid w:val="7EAD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pPr>
  </w:style>
  <w:style w:type="paragraph" w:styleId="7">
    <w:name w:val="annotation text"/>
    <w:basedOn w:val="1"/>
    <w:link w:val="39"/>
    <w:qFormat/>
    <w:uiPriority w:val="0"/>
    <w:pPr>
      <w:jc w:val="left"/>
    </w:pPr>
    <w:rPr>
      <w:rFonts w:ascii="Calibri" w:hAnsi="Calibri" w:eastAsia="宋体" w:cs="Times New Roman"/>
      <w:szCs w:val="24"/>
    </w:rPr>
  </w:style>
  <w:style w:type="paragraph" w:styleId="8">
    <w:name w:val="Body Text"/>
    <w:basedOn w:val="1"/>
    <w:link w:val="35"/>
    <w:qFormat/>
    <w:uiPriority w:val="1"/>
    <w:pPr>
      <w:ind w:left="102"/>
    </w:pPr>
    <w:rPr>
      <w:rFonts w:ascii="仿宋" w:hAnsi="仿宋" w:eastAsia="仿宋"/>
      <w:sz w:val="28"/>
      <w:szCs w:val="28"/>
    </w:rPr>
  </w:style>
  <w:style w:type="paragraph" w:styleId="9">
    <w:name w:val="Body Text Indent"/>
    <w:basedOn w:val="1"/>
    <w:link w:val="40"/>
    <w:semiHidden/>
    <w:unhideWhenUsed/>
    <w:qFormat/>
    <w:uiPriority w:val="99"/>
    <w:pPr>
      <w:spacing w:after="120"/>
      <w:ind w:left="420" w:leftChars="200"/>
    </w:p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9"/>
    <w:next w:val="14"/>
    <w:link w:val="41"/>
    <w:semiHidden/>
    <w:unhideWhenUsed/>
    <w:qFormat/>
    <w:uiPriority w:val="99"/>
    <w:pPr>
      <w:ind w:firstLine="420" w:firstLineChars="2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qFormat/>
    <w:uiPriority w:val="0"/>
    <w:rPr>
      <w:sz w:val="21"/>
      <w:szCs w:val="21"/>
    </w:rPr>
  </w:style>
  <w:style w:type="character" w:customStyle="1" w:styleId="22">
    <w:name w:val="标题 1 字符"/>
    <w:basedOn w:val="19"/>
    <w:link w:val="2"/>
    <w:qFormat/>
    <w:uiPriority w:val="9"/>
    <w:rPr>
      <w:b/>
      <w:bCs/>
      <w:kern w:val="44"/>
      <w:sz w:val="44"/>
      <w:szCs w:val="44"/>
    </w:rPr>
  </w:style>
  <w:style w:type="table" w:customStyle="1" w:styleId="23">
    <w:name w:val="SGS Table Basic 11"/>
    <w:basedOn w:val="17"/>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4">
    <w:name w:val="页眉 字符"/>
    <w:basedOn w:val="19"/>
    <w:link w:val="13"/>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NormalCharacter"/>
    <w:qFormat/>
    <w:uiPriority w:val="0"/>
    <w:rPr>
      <w:kern w:val="2"/>
      <w:sz w:val="21"/>
      <w:szCs w:val="22"/>
      <w:lang w:val="en-US" w:eastAsia="zh-CN" w:bidi="ar-SA"/>
    </w:rPr>
  </w:style>
  <w:style w:type="paragraph" w:customStyle="1" w:styleId="27">
    <w:name w:val="列出段落1"/>
    <w:basedOn w:val="1"/>
    <w:qFormat/>
    <w:uiPriority w:val="0"/>
    <w:pPr>
      <w:ind w:firstLine="200" w:firstLineChars="200"/>
    </w:pPr>
    <w:rPr>
      <w:rFonts w:ascii="Calibri" w:hAnsi="Calibri" w:eastAsia="宋体" w:cs="Times New Roman"/>
    </w:rPr>
  </w:style>
  <w:style w:type="paragraph" w:styleId="28">
    <w:name w:val="List Paragraph"/>
    <w:basedOn w:val="1"/>
    <w:qFormat/>
    <w:uiPriority w:val="34"/>
    <w:pPr>
      <w:ind w:firstLine="420"/>
    </w:pPr>
    <w:rPr>
      <w:rFonts w:ascii="Calibri" w:hAnsi="Calibri" w:eastAsia="宋体" w:cs="Times New Roman"/>
      <w:szCs w:val="24"/>
    </w:rPr>
  </w:style>
  <w:style w:type="character" w:customStyle="1" w:styleId="29">
    <w:name w:val="标题 2 字符"/>
    <w:basedOn w:val="19"/>
    <w:link w:val="3"/>
    <w:qFormat/>
    <w:uiPriority w:val="0"/>
    <w:rPr>
      <w:rFonts w:asciiTheme="majorHAnsi" w:hAnsiTheme="majorHAnsi" w:eastAsiaTheme="majorEastAsia" w:cstheme="majorBidi"/>
      <w:b/>
      <w:bCs/>
      <w:sz w:val="32"/>
      <w:szCs w:val="32"/>
    </w:rPr>
  </w:style>
  <w:style w:type="character" w:customStyle="1" w:styleId="30">
    <w:name w:val="标题 3 字符"/>
    <w:basedOn w:val="19"/>
    <w:link w:val="4"/>
    <w:qFormat/>
    <w:uiPriority w:val="0"/>
    <w:rPr>
      <w:b/>
      <w:bCs/>
      <w:sz w:val="32"/>
      <w:szCs w:val="32"/>
    </w:rPr>
  </w:style>
  <w:style w:type="character" w:customStyle="1" w:styleId="31">
    <w:name w:val="批注框文本 字符"/>
    <w:basedOn w:val="19"/>
    <w:link w:val="10"/>
    <w:semiHidden/>
    <w:qFormat/>
    <w:uiPriority w:val="99"/>
    <w:rPr>
      <w:sz w:val="18"/>
      <w:szCs w:val="18"/>
    </w:rPr>
  </w:style>
  <w:style w:type="paragraph" w:customStyle="1" w:styleId="32">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3">
    <w:name w:val="正文缩进 字符"/>
    <w:link w:val="6"/>
    <w:qFormat/>
    <w:uiPriority w:val="0"/>
  </w:style>
  <w:style w:type="paragraph" w:customStyle="1" w:styleId="34">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5">
    <w:name w:val="正文文本 字符"/>
    <w:basedOn w:val="19"/>
    <w:link w:val="8"/>
    <w:qFormat/>
    <w:uiPriority w:val="1"/>
    <w:rPr>
      <w:rFonts w:ascii="仿宋" w:hAnsi="仿宋" w:eastAsia="仿宋"/>
      <w:sz w:val="28"/>
      <w:szCs w:val="28"/>
    </w:rPr>
  </w:style>
  <w:style w:type="paragraph" w:customStyle="1" w:styleId="36">
    <w:name w:val="正文1"/>
    <w:basedOn w:val="1"/>
    <w:qFormat/>
    <w:uiPriority w:val="0"/>
    <w:pPr>
      <w:spacing w:line="360" w:lineRule="auto"/>
      <w:ind w:firstLine="361"/>
    </w:pPr>
    <w:rPr>
      <w:rFonts w:ascii="宋体" w:hAnsi="宋体" w:eastAsia="宋体" w:cs="Times New Roman"/>
      <w:szCs w:val="24"/>
    </w:rPr>
  </w:style>
  <w:style w:type="character" w:customStyle="1" w:styleId="37">
    <w:name w:val="正文缩进2格 Char"/>
    <w:link w:val="38"/>
    <w:qFormat/>
    <w:locked/>
    <w:uiPriority w:val="0"/>
    <w:rPr>
      <w:rFonts w:ascii="仿宋_GB2312" w:hAnsi="宋体" w:eastAsia="仿宋_GB2312"/>
      <w:sz w:val="31"/>
      <w:szCs w:val="28"/>
    </w:rPr>
  </w:style>
  <w:style w:type="paragraph" w:customStyle="1" w:styleId="38">
    <w:name w:val="正文缩进2格"/>
    <w:basedOn w:val="1"/>
    <w:link w:val="37"/>
    <w:qFormat/>
    <w:uiPriority w:val="0"/>
    <w:pPr>
      <w:spacing w:line="600" w:lineRule="exact"/>
      <w:ind w:firstLine="639" w:firstLineChars="206"/>
    </w:pPr>
    <w:rPr>
      <w:rFonts w:ascii="仿宋_GB2312" w:hAnsi="宋体" w:eastAsia="仿宋_GB2312"/>
      <w:sz w:val="31"/>
      <w:szCs w:val="28"/>
    </w:rPr>
  </w:style>
  <w:style w:type="character" w:customStyle="1" w:styleId="39">
    <w:name w:val="批注文字 字符"/>
    <w:basedOn w:val="19"/>
    <w:link w:val="7"/>
    <w:qFormat/>
    <w:uiPriority w:val="0"/>
    <w:rPr>
      <w:rFonts w:ascii="Calibri" w:hAnsi="Calibri" w:eastAsia="宋体" w:cs="Times New Roman"/>
      <w:kern w:val="2"/>
      <w:sz w:val="21"/>
      <w:szCs w:val="24"/>
    </w:rPr>
  </w:style>
  <w:style w:type="character" w:customStyle="1" w:styleId="40">
    <w:name w:val="正文文本缩进 字符"/>
    <w:basedOn w:val="19"/>
    <w:link w:val="9"/>
    <w:semiHidden/>
    <w:qFormat/>
    <w:uiPriority w:val="99"/>
    <w:rPr>
      <w:kern w:val="2"/>
      <w:sz w:val="21"/>
      <w:szCs w:val="22"/>
    </w:rPr>
  </w:style>
  <w:style w:type="character" w:customStyle="1" w:styleId="41">
    <w:name w:val="正文文本首行缩进 2 字符"/>
    <w:basedOn w:val="40"/>
    <w:link w:val="16"/>
    <w:semiHidden/>
    <w:qFormat/>
    <w:uiPriority w:val="99"/>
    <w:rPr>
      <w:kern w:val="2"/>
      <w:sz w:val="21"/>
      <w:szCs w:val="22"/>
    </w:rPr>
  </w:style>
  <w:style w:type="character" w:customStyle="1" w:styleId="42">
    <w:name w:val="标题 4 字符"/>
    <w:basedOn w:val="19"/>
    <w:link w:val="5"/>
    <w:semiHidden/>
    <w:qFormat/>
    <w:uiPriority w:val="9"/>
    <w:rPr>
      <w:rFonts w:asciiTheme="majorHAnsi" w:hAnsiTheme="majorHAnsi" w:eastAsiaTheme="majorEastAsia" w:cstheme="majorBidi"/>
      <w:b/>
      <w:bCs/>
      <w:kern w:val="2"/>
      <w:sz w:val="28"/>
      <w:szCs w:val="28"/>
    </w:rPr>
  </w:style>
  <w:style w:type="table" w:customStyle="1" w:styleId="43">
    <w:name w:val="网格型1"/>
    <w:basedOn w:val="17"/>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4">
    <w:name w:val="font21"/>
    <w:basedOn w:val="19"/>
    <w:qFormat/>
    <w:uiPriority w:val="0"/>
    <w:rPr>
      <w:rFonts w:hint="eastAsia" w:ascii="宋体" w:hAnsi="宋体" w:eastAsia="宋体" w:cs="宋体"/>
      <w:b/>
      <w:bCs/>
      <w:color w:val="000000"/>
      <w:sz w:val="24"/>
      <w:szCs w:val="24"/>
      <w:u w:val="none"/>
    </w:rPr>
  </w:style>
  <w:style w:type="character" w:customStyle="1" w:styleId="45">
    <w:name w:val="font51"/>
    <w:basedOn w:val="19"/>
    <w:qFormat/>
    <w:uiPriority w:val="0"/>
    <w:rPr>
      <w:rFonts w:hint="default" w:ascii="Times New Roman" w:hAnsi="Times New Roman" w:cs="Times New Roman"/>
      <w:b/>
      <w:bCs/>
      <w:color w:val="000000"/>
      <w:sz w:val="24"/>
      <w:szCs w:val="24"/>
      <w:u w:val="none"/>
    </w:rPr>
  </w:style>
  <w:style w:type="character" w:customStyle="1" w:styleId="46">
    <w:name w:val="font11"/>
    <w:basedOn w:val="19"/>
    <w:qFormat/>
    <w:uiPriority w:val="0"/>
    <w:rPr>
      <w:rFonts w:hint="eastAsia" w:ascii="宋体" w:hAnsi="宋体" w:eastAsia="宋体" w:cs="宋体"/>
      <w:color w:val="FF0000"/>
      <w:sz w:val="22"/>
      <w:szCs w:val="22"/>
      <w:u w:val="none"/>
    </w:rPr>
  </w:style>
  <w:style w:type="character" w:customStyle="1" w:styleId="47">
    <w:name w:val="font01"/>
    <w:basedOn w:val="19"/>
    <w:qFormat/>
    <w:uiPriority w:val="0"/>
    <w:rPr>
      <w:rFonts w:hint="eastAsia" w:ascii="宋体" w:hAnsi="宋体" w:eastAsia="宋体" w:cs="宋体"/>
      <w:color w:val="000000"/>
      <w:sz w:val="22"/>
      <w:szCs w:val="22"/>
      <w:u w:val="none"/>
    </w:rPr>
  </w:style>
  <w:style w:type="character" w:customStyle="1" w:styleId="48">
    <w:name w:val="font4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44</Pages>
  <Words>8313</Words>
  <Characters>9588</Characters>
  <Lines>185</Lines>
  <Paragraphs>52</Paragraphs>
  <TotalTime>7</TotalTime>
  <ScaleCrop>false</ScaleCrop>
  <LinksUpToDate>false</LinksUpToDate>
  <CharactersWithSpaces>9840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2023-10-09T09:19:00Z</dcterms:created>
  <dc:creator>bailing</dc:creator>
  <cp:lastModifiedBy>不是五月是六月</cp:lastModifiedBy>
  <cp:lastPrinted>2024-09-12T01:01:00Z</cp:lastPrinted>
  <dcterms:modified xsi:type="dcterms:W3CDTF">2025-11-21T06:34:02Z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1D1F82450BA84367B99B7D6611615E80</vt:lpwstr>
  </property>
  <property fmtid="{D5CDD505-2E9C-101B-9397-08002B2CF9AE}" pid="4" name="KSOTemplateDocerSaveRecord">
    <vt:lpwstr>eyJoZGlkIjoiOTRlOWI3NWY2OGZkMjVmYTFlYTljMjE1ZGEwNTI5NGYiLCJ1c2VySWQiOiI2Nzc0MDE5NDIifQ==</vt:lpwstr>
  </property>
</Properties>
</file>