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480" w:lineRule="auto"/>
        <w:ind w:firstLine="723" w:firstLineChars="200"/>
        <w:rPr>
          <w:rFonts w:ascii="宋体" w:hAnsi="宋体" w:cs="仿宋"/>
          <w:b/>
          <w:bCs/>
          <w:color w:val="auto"/>
          <w:sz w:val="36"/>
          <w:szCs w:val="36"/>
        </w:rPr>
      </w:pPr>
    </w:p>
    <w:p>
      <w:pPr>
        <w:widowControl/>
        <w:shd w:val="clear" w:color="auto" w:fill="FFFFFF"/>
        <w:adjustRightInd w:val="0"/>
        <w:snapToGrid w:val="0"/>
        <w:spacing w:line="480" w:lineRule="auto"/>
        <w:ind w:firstLine="723" w:firstLineChars="200"/>
        <w:jc w:val="center"/>
        <w:rPr>
          <w:rFonts w:hint="eastAsia" w:ascii="宋体" w:hAnsi="宋体" w:cs="仿宋"/>
          <w:b/>
          <w:bCs/>
          <w:color w:val="auto"/>
          <w:sz w:val="36"/>
          <w:szCs w:val="36"/>
        </w:rPr>
      </w:pPr>
      <w:r>
        <w:rPr>
          <w:rFonts w:hint="eastAsia" w:ascii="宋体" w:hAnsi="宋体" w:cs="仿宋"/>
          <w:b/>
          <w:bCs/>
          <w:color w:val="auto"/>
          <w:sz w:val="36"/>
          <w:szCs w:val="36"/>
        </w:rPr>
        <w:t>南通市农业农村局2024年度文书及业务等档案整理服务项目</w:t>
      </w:r>
    </w:p>
    <w:p>
      <w:pPr>
        <w:pStyle w:val="2"/>
        <w:rPr>
          <w:color w:val="auto"/>
        </w:rPr>
      </w:pPr>
    </w:p>
    <w:p>
      <w:pPr>
        <w:pStyle w:val="83"/>
        <w:ind w:firstLine="420"/>
        <w:rPr>
          <w:rFonts w:ascii="宋体" w:hAnsi="宋体"/>
          <w:color w:val="auto"/>
        </w:rPr>
      </w:pPr>
    </w:p>
    <w:p>
      <w:pPr>
        <w:rPr>
          <w:rFonts w:hint="eastAsia" w:ascii="宋体" w:hAnsi="宋体"/>
          <w:color w:val="auto"/>
        </w:rPr>
      </w:pPr>
    </w:p>
    <w:p>
      <w:pPr>
        <w:pStyle w:val="2"/>
        <w:rPr>
          <w:color w:val="auto"/>
        </w:rPr>
      </w:pPr>
    </w:p>
    <w:p>
      <w:pPr>
        <w:jc w:val="center"/>
        <w:rPr>
          <w:rFonts w:ascii="宋体" w:hAnsi="宋体" w:cs="仿宋"/>
          <w:b/>
          <w:color w:val="auto"/>
          <w:sz w:val="100"/>
          <w:szCs w:val="100"/>
        </w:rPr>
      </w:pPr>
      <w:r>
        <w:rPr>
          <w:rFonts w:hint="eastAsia" w:ascii="宋体" w:hAnsi="宋体" w:cs="仿宋"/>
          <w:b/>
          <w:color w:val="auto"/>
          <w:sz w:val="100"/>
          <w:szCs w:val="100"/>
        </w:rPr>
        <w:t>公开招标文件</w:t>
      </w:r>
    </w:p>
    <w:p>
      <w:pPr>
        <w:keepNext/>
        <w:spacing w:line="500" w:lineRule="exact"/>
        <w:jc w:val="center"/>
        <w:outlineLvl w:val="5"/>
        <w:rPr>
          <w:rFonts w:ascii="宋体" w:hAnsi="宋体" w:cs="仿宋"/>
          <w:b/>
          <w:color w:val="auto"/>
          <w:kern w:val="0"/>
          <w:sz w:val="44"/>
          <w:szCs w:val="20"/>
        </w:rPr>
      </w:pPr>
    </w:p>
    <w:p>
      <w:pPr>
        <w:keepNext/>
        <w:spacing w:line="500" w:lineRule="exact"/>
        <w:jc w:val="center"/>
        <w:outlineLvl w:val="5"/>
        <w:rPr>
          <w:rFonts w:ascii="宋体" w:hAnsi="宋体" w:cs="仿宋"/>
          <w:b/>
          <w:color w:val="auto"/>
          <w:kern w:val="0"/>
          <w:sz w:val="36"/>
          <w:szCs w:val="36"/>
        </w:rPr>
      </w:pPr>
    </w:p>
    <w:p>
      <w:pPr>
        <w:spacing w:line="500" w:lineRule="exact"/>
        <w:jc w:val="center"/>
        <w:rPr>
          <w:rFonts w:ascii="宋体" w:hAnsi="宋体" w:cs="仿宋"/>
          <w:b/>
          <w:color w:val="auto"/>
          <w:sz w:val="36"/>
        </w:rPr>
      </w:pPr>
    </w:p>
    <w:p>
      <w:pPr>
        <w:spacing w:line="500" w:lineRule="exact"/>
        <w:jc w:val="center"/>
        <w:rPr>
          <w:rFonts w:ascii="宋体" w:hAnsi="宋体" w:cs="仿宋"/>
          <w:b/>
          <w:color w:val="auto"/>
          <w:sz w:val="36"/>
        </w:rPr>
      </w:pPr>
    </w:p>
    <w:p>
      <w:pPr>
        <w:spacing w:line="500" w:lineRule="exact"/>
        <w:jc w:val="center"/>
        <w:rPr>
          <w:rFonts w:ascii="宋体" w:hAnsi="宋体" w:cs="仿宋"/>
          <w:b/>
          <w:color w:val="auto"/>
          <w:sz w:val="36"/>
        </w:rPr>
      </w:pPr>
    </w:p>
    <w:p>
      <w:pPr>
        <w:spacing w:line="500" w:lineRule="exact"/>
        <w:rPr>
          <w:rFonts w:ascii="宋体" w:hAnsi="宋体" w:cs="仿宋"/>
          <w:color w:val="auto"/>
        </w:rPr>
      </w:pPr>
    </w:p>
    <w:p>
      <w:pPr>
        <w:spacing w:line="480" w:lineRule="auto"/>
        <w:jc w:val="center"/>
        <w:rPr>
          <w:rFonts w:ascii="宋体" w:hAnsi="宋体" w:cs="仿宋"/>
          <w:color w:val="auto"/>
          <w:sz w:val="32"/>
        </w:rPr>
      </w:pPr>
    </w:p>
    <w:p>
      <w:pPr>
        <w:spacing w:line="480" w:lineRule="auto"/>
        <w:jc w:val="center"/>
        <w:rPr>
          <w:rFonts w:ascii="宋体" w:hAnsi="宋体" w:cs="仿宋"/>
          <w:color w:val="auto"/>
          <w:sz w:val="32"/>
        </w:rPr>
      </w:pPr>
    </w:p>
    <w:p>
      <w:pPr>
        <w:pStyle w:val="88"/>
        <w:ind w:firstLine="640"/>
        <w:rPr>
          <w:rFonts w:hAnsi="宋体" w:cs="仿宋"/>
          <w:color w:val="auto"/>
          <w:sz w:val="32"/>
        </w:rPr>
      </w:pPr>
    </w:p>
    <w:p>
      <w:pPr>
        <w:rPr>
          <w:rFonts w:ascii="宋体" w:hAnsi="宋体" w:cs="仿宋"/>
          <w:color w:val="auto"/>
          <w:sz w:val="32"/>
        </w:rPr>
      </w:pPr>
    </w:p>
    <w:p>
      <w:pPr>
        <w:pStyle w:val="88"/>
        <w:ind w:firstLine="420"/>
        <w:rPr>
          <w:color w:val="auto"/>
        </w:rPr>
      </w:pPr>
    </w:p>
    <w:p>
      <w:pPr>
        <w:widowControl/>
        <w:shd w:val="clear" w:color="auto" w:fill="FFFFFF"/>
        <w:adjustRightInd w:val="0"/>
        <w:snapToGrid w:val="0"/>
        <w:spacing w:line="480" w:lineRule="auto"/>
        <w:jc w:val="center"/>
        <w:rPr>
          <w:rFonts w:ascii="宋体" w:hAnsi="宋体" w:cs="仿宋"/>
          <w:b/>
          <w:bCs/>
          <w:color w:val="auto"/>
          <w:sz w:val="36"/>
          <w:szCs w:val="36"/>
        </w:rPr>
      </w:pPr>
      <w:r>
        <w:rPr>
          <w:rFonts w:hint="eastAsia" w:ascii="宋体" w:hAnsi="宋体" w:cs="仿宋"/>
          <w:b/>
          <w:bCs/>
          <w:color w:val="auto"/>
          <w:sz w:val="36"/>
          <w:szCs w:val="36"/>
        </w:rPr>
        <w:t>采 购 人：南通市农业农村局</w:t>
      </w:r>
    </w:p>
    <w:p>
      <w:pPr>
        <w:adjustRightInd w:val="0"/>
        <w:spacing w:before="120" w:after="120" w:line="480" w:lineRule="auto"/>
        <w:ind w:left="-2" w:right="120"/>
        <w:jc w:val="center"/>
        <w:textAlignment w:val="baseline"/>
        <w:rPr>
          <w:rFonts w:ascii="宋体" w:hAnsi="宋体" w:cs="仿宋"/>
          <w:color w:val="auto"/>
          <w:sz w:val="44"/>
          <w:szCs w:val="44"/>
          <w:lang w:val="zh-CN"/>
        </w:rPr>
      </w:pPr>
      <w:r>
        <w:rPr>
          <w:rFonts w:hint="eastAsia" w:ascii="宋体" w:hAnsi="宋体" w:cs="仿宋"/>
          <w:b/>
          <w:bCs/>
          <w:color w:val="auto"/>
          <w:kern w:val="0"/>
          <w:sz w:val="32"/>
        </w:rPr>
        <w:t>2025年1</w:t>
      </w:r>
      <w:r>
        <w:rPr>
          <w:rFonts w:hint="eastAsia" w:ascii="宋体" w:hAnsi="宋体" w:cs="仿宋"/>
          <w:b/>
          <w:bCs/>
          <w:color w:val="auto"/>
          <w:kern w:val="0"/>
          <w:sz w:val="32"/>
          <w:lang w:val="en-US" w:eastAsia="zh-CN"/>
        </w:rPr>
        <w:t>2</w:t>
      </w:r>
      <w:r>
        <w:rPr>
          <w:rFonts w:hint="eastAsia" w:ascii="宋体" w:hAnsi="宋体" w:cs="仿宋"/>
          <w:b/>
          <w:bCs/>
          <w:color w:val="auto"/>
          <w:kern w:val="0"/>
          <w:sz w:val="32"/>
        </w:rPr>
        <w:t>月</w:t>
      </w:r>
    </w:p>
    <w:p>
      <w:pPr>
        <w:autoSpaceDE w:val="0"/>
        <w:autoSpaceDN w:val="0"/>
        <w:adjustRightInd w:val="0"/>
        <w:snapToGrid w:val="0"/>
        <w:spacing w:line="360" w:lineRule="auto"/>
        <w:jc w:val="center"/>
        <w:rPr>
          <w:rFonts w:ascii="宋体" w:hAnsi="宋体" w:cs="仿宋"/>
          <w:color w:val="auto"/>
          <w:sz w:val="32"/>
          <w:szCs w:val="32"/>
        </w:rPr>
      </w:pPr>
      <w:r>
        <w:rPr>
          <w:rFonts w:ascii="宋体" w:hAnsi="宋体" w:cs="仿宋"/>
          <w:color w:val="auto"/>
          <w:sz w:val="44"/>
          <w:szCs w:val="44"/>
          <w:lang w:val="zh-CN"/>
        </w:rPr>
        <w:br w:type="page"/>
      </w:r>
      <w:r>
        <w:rPr>
          <w:rFonts w:hint="eastAsia" w:ascii="宋体" w:hAnsi="宋体" w:cs="仿宋"/>
          <w:color w:val="auto"/>
          <w:sz w:val="44"/>
          <w:szCs w:val="44"/>
          <w:lang w:val="zh-CN"/>
        </w:rPr>
        <w:t>目 录</w:t>
      </w:r>
    </w:p>
    <w:p>
      <w:pPr>
        <w:autoSpaceDE w:val="0"/>
        <w:autoSpaceDN w:val="0"/>
        <w:adjustRightInd w:val="0"/>
        <w:snapToGrid w:val="0"/>
        <w:spacing w:line="360" w:lineRule="auto"/>
        <w:ind w:firstLine="556"/>
        <w:rPr>
          <w:rFonts w:ascii="宋体" w:hAnsi="宋体" w:cs="仿宋"/>
          <w:color w:val="auto"/>
          <w:sz w:val="32"/>
          <w:szCs w:val="32"/>
        </w:rPr>
      </w:pPr>
      <w:r>
        <w:rPr>
          <w:rFonts w:hint="eastAsia" w:ascii="宋体" w:hAnsi="宋体" w:cs="仿宋"/>
          <w:color w:val="auto"/>
          <w:sz w:val="32"/>
          <w:szCs w:val="32"/>
        </w:rPr>
        <w:t>第一部分  招标公告</w:t>
      </w:r>
    </w:p>
    <w:p>
      <w:pPr>
        <w:autoSpaceDE w:val="0"/>
        <w:autoSpaceDN w:val="0"/>
        <w:adjustRightInd w:val="0"/>
        <w:snapToGrid w:val="0"/>
        <w:spacing w:line="360" w:lineRule="auto"/>
        <w:ind w:firstLine="556"/>
        <w:rPr>
          <w:rFonts w:ascii="宋体" w:hAnsi="宋体" w:cs="仿宋"/>
          <w:color w:val="auto"/>
          <w:sz w:val="32"/>
          <w:szCs w:val="32"/>
        </w:rPr>
      </w:pPr>
      <w:r>
        <w:rPr>
          <w:rFonts w:hint="eastAsia" w:ascii="宋体" w:hAnsi="宋体" w:cs="仿宋"/>
          <w:color w:val="auto"/>
          <w:sz w:val="32"/>
          <w:szCs w:val="32"/>
        </w:rPr>
        <w:t>第二部分  投标须知</w:t>
      </w:r>
    </w:p>
    <w:p>
      <w:pPr>
        <w:autoSpaceDE w:val="0"/>
        <w:autoSpaceDN w:val="0"/>
        <w:adjustRightInd w:val="0"/>
        <w:snapToGrid w:val="0"/>
        <w:spacing w:line="360" w:lineRule="auto"/>
        <w:ind w:firstLine="537"/>
        <w:rPr>
          <w:rFonts w:ascii="宋体" w:hAnsi="宋体" w:cs="仿宋"/>
          <w:color w:val="auto"/>
          <w:sz w:val="32"/>
          <w:szCs w:val="32"/>
        </w:rPr>
      </w:pPr>
      <w:r>
        <w:rPr>
          <w:rFonts w:hint="eastAsia" w:ascii="宋体" w:hAnsi="宋体" w:cs="仿宋"/>
          <w:color w:val="auto"/>
          <w:sz w:val="32"/>
          <w:szCs w:val="32"/>
        </w:rPr>
        <w:t>第三部分  项目需求</w:t>
      </w:r>
    </w:p>
    <w:p>
      <w:pPr>
        <w:autoSpaceDE w:val="0"/>
        <w:autoSpaceDN w:val="0"/>
        <w:adjustRightInd w:val="0"/>
        <w:snapToGrid w:val="0"/>
        <w:spacing w:line="360" w:lineRule="auto"/>
        <w:ind w:firstLine="537"/>
        <w:rPr>
          <w:rFonts w:ascii="宋体" w:hAnsi="宋体" w:cs="仿宋"/>
          <w:color w:val="auto"/>
          <w:sz w:val="32"/>
          <w:szCs w:val="32"/>
        </w:rPr>
      </w:pPr>
      <w:r>
        <w:rPr>
          <w:rFonts w:hint="eastAsia" w:ascii="宋体" w:hAnsi="宋体" w:cs="仿宋"/>
          <w:color w:val="auto"/>
          <w:sz w:val="32"/>
          <w:szCs w:val="32"/>
        </w:rPr>
        <w:t>第四部分  评审方法和评审标准</w:t>
      </w:r>
    </w:p>
    <w:p>
      <w:pPr>
        <w:autoSpaceDE w:val="0"/>
        <w:autoSpaceDN w:val="0"/>
        <w:adjustRightInd w:val="0"/>
        <w:snapToGrid w:val="0"/>
        <w:spacing w:line="360" w:lineRule="auto"/>
        <w:ind w:firstLine="556"/>
        <w:rPr>
          <w:rFonts w:ascii="宋体" w:hAnsi="宋体" w:cs="仿宋"/>
          <w:color w:val="auto"/>
          <w:sz w:val="32"/>
          <w:szCs w:val="32"/>
        </w:rPr>
      </w:pPr>
      <w:r>
        <w:rPr>
          <w:rFonts w:hint="eastAsia" w:ascii="宋体" w:hAnsi="宋体" w:cs="仿宋"/>
          <w:color w:val="auto"/>
          <w:sz w:val="32"/>
          <w:szCs w:val="32"/>
        </w:rPr>
        <w:t>第五部分  响应文件组成</w:t>
      </w:r>
    </w:p>
    <w:p>
      <w:pPr>
        <w:autoSpaceDE w:val="0"/>
        <w:autoSpaceDN w:val="0"/>
        <w:adjustRightInd w:val="0"/>
        <w:snapToGrid w:val="0"/>
        <w:spacing w:line="360" w:lineRule="auto"/>
        <w:ind w:firstLine="556"/>
        <w:rPr>
          <w:rFonts w:ascii="宋体" w:hAnsi="宋体" w:cs="仿宋"/>
          <w:color w:val="auto"/>
          <w:sz w:val="32"/>
          <w:szCs w:val="32"/>
        </w:rPr>
      </w:pPr>
    </w:p>
    <w:p>
      <w:pPr>
        <w:tabs>
          <w:tab w:val="left" w:pos="7740"/>
        </w:tabs>
        <w:spacing w:line="500" w:lineRule="exact"/>
        <w:rPr>
          <w:rFonts w:ascii="宋体" w:hAnsi="宋体" w:cs="仿宋"/>
          <w:bCs/>
          <w:color w:val="auto"/>
          <w:sz w:val="32"/>
          <w:szCs w:val="32"/>
        </w:rPr>
      </w:pPr>
    </w:p>
    <w:p>
      <w:pPr>
        <w:tabs>
          <w:tab w:val="left" w:pos="7740"/>
        </w:tabs>
        <w:spacing w:line="500" w:lineRule="exact"/>
        <w:rPr>
          <w:rFonts w:ascii="宋体" w:hAnsi="宋体" w:cs="仿宋"/>
          <w:bCs/>
          <w:color w:val="auto"/>
          <w:sz w:val="32"/>
          <w:szCs w:val="32"/>
        </w:rPr>
      </w:pPr>
    </w:p>
    <w:p>
      <w:pPr>
        <w:autoSpaceDE w:val="0"/>
        <w:autoSpaceDN w:val="0"/>
        <w:adjustRightInd w:val="0"/>
        <w:spacing w:line="500" w:lineRule="exact"/>
        <w:jc w:val="center"/>
        <w:rPr>
          <w:rFonts w:ascii="宋体" w:hAnsi="宋体" w:cs="仿宋"/>
          <w:b/>
          <w:bCs/>
          <w:color w:val="auto"/>
          <w:sz w:val="36"/>
          <w:szCs w:val="36"/>
          <w:lang w:val="zh-CN"/>
        </w:rPr>
      </w:pPr>
    </w:p>
    <w:p>
      <w:pPr>
        <w:autoSpaceDE w:val="0"/>
        <w:autoSpaceDN w:val="0"/>
        <w:adjustRightInd w:val="0"/>
        <w:spacing w:line="500" w:lineRule="exact"/>
        <w:rPr>
          <w:rFonts w:ascii="宋体" w:hAnsi="宋体" w:cs="仿宋"/>
          <w:b/>
          <w:bCs/>
          <w:color w:val="auto"/>
          <w:sz w:val="36"/>
          <w:szCs w:val="36"/>
          <w:lang w:val="zh-CN"/>
        </w:rPr>
      </w:pPr>
    </w:p>
    <w:p>
      <w:pPr>
        <w:autoSpaceDE w:val="0"/>
        <w:autoSpaceDN w:val="0"/>
        <w:adjustRightInd w:val="0"/>
        <w:spacing w:line="500" w:lineRule="exact"/>
        <w:jc w:val="center"/>
        <w:rPr>
          <w:rFonts w:ascii="宋体" w:hAnsi="宋体" w:cs="仿宋"/>
          <w:b/>
          <w:bCs/>
          <w:color w:val="auto"/>
          <w:sz w:val="36"/>
          <w:szCs w:val="36"/>
          <w:lang w:val="zh-CN"/>
        </w:rPr>
      </w:pPr>
    </w:p>
    <w:p>
      <w:pPr>
        <w:autoSpaceDE w:val="0"/>
        <w:autoSpaceDN w:val="0"/>
        <w:adjustRightInd w:val="0"/>
        <w:spacing w:line="500" w:lineRule="exact"/>
        <w:jc w:val="center"/>
        <w:rPr>
          <w:rFonts w:ascii="宋体" w:hAnsi="宋体" w:cs="仿宋"/>
          <w:b/>
          <w:bCs/>
          <w:color w:val="auto"/>
          <w:sz w:val="36"/>
          <w:szCs w:val="36"/>
          <w:lang w:val="zh-CN"/>
        </w:rPr>
      </w:pPr>
    </w:p>
    <w:p>
      <w:pPr>
        <w:autoSpaceDE w:val="0"/>
        <w:autoSpaceDN w:val="0"/>
        <w:adjustRightInd w:val="0"/>
        <w:spacing w:line="500" w:lineRule="exact"/>
        <w:jc w:val="center"/>
        <w:rPr>
          <w:rFonts w:ascii="宋体" w:hAnsi="宋体" w:cs="仿宋"/>
          <w:b/>
          <w:bCs/>
          <w:color w:val="auto"/>
          <w:sz w:val="36"/>
          <w:szCs w:val="36"/>
          <w:lang w:val="zh-CN"/>
        </w:rPr>
      </w:pPr>
    </w:p>
    <w:p>
      <w:pPr>
        <w:autoSpaceDE w:val="0"/>
        <w:autoSpaceDN w:val="0"/>
        <w:adjustRightInd w:val="0"/>
        <w:spacing w:line="500" w:lineRule="exact"/>
        <w:jc w:val="center"/>
        <w:rPr>
          <w:rFonts w:ascii="宋体" w:hAnsi="宋体" w:cs="仿宋"/>
          <w:b/>
          <w:bCs/>
          <w:color w:val="auto"/>
          <w:sz w:val="36"/>
          <w:szCs w:val="36"/>
          <w:lang w:val="zh-CN"/>
        </w:rPr>
      </w:pPr>
    </w:p>
    <w:p>
      <w:pPr>
        <w:autoSpaceDE w:val="0"/>
        <w:autoSpaceDN w:val="0"/>
        <w:adjustRightInd w:val="0"/>
        <w:spacing w:line="500" w:lineRule="exact"/>
        <w:jc w:val="center"/>
        <w:rPr>
          <w:rFonts w:ascii="宋体" w:hAnsi="宋体" w:cs="仿宋"/>
          <w:b/>
          <w:bCs/>
          <w:color w:val="auto"/>
          <w:sz w:val="36"/>
          <w:szCs w:val="36"/>
          <w:lang w:val="zh-CN"/>
        </w:rPr>
      </w:pPr>
    </w:p>
    <w:p>
      <w:pPr>
        <w:autoSpaceDE w:val="0"/>
        <w:autoSpaceDN w:val="0"/>
        <w:adjustRightInd w:val="0"/>
        <w:spacing w:line="500" w:lineRule="exact"/>
        <w:jc w:val="center"/>
        <w:rPr>
          <w:rFonts w:ascii="宋体" w:hAnsi="宋体" w:cs="仿宋"/>
          <w:b/>
          <w:bCs/>
          <w:color w:val="auto"/>
          <w:sz w:val="36"/>
          <w:szCs w:val="36"/>
          <w:lang w:val="zh-CN"/>
        </w:rPr>
      </w:pPr>
    </w:p>
    <w:p>
      <w:pPr>
        <w:autoSpaceDE w:val="0"/>
        <w:autoSpaceDN w:val="0"/>
        <w:adjustRightInd w:val="0"/>
        <w:spacing w:line="500" w:lineRule="exact"/>
        <w:jc w:val="center"/>
        <w:rPr>
          <w:rFonts w:ascii="宋体" w:hAnsi="宋体" w:cs="仿宋"/>
          <w:b/>
          <w:bCs/>
          <w:color w:val="auto"/>
          <w:sz w:val="36"/>
          <w:szCs w:val="36"/>
          <w:lang w:val="zh-CN"/>
        </w:rPr>
      </w:pPr>
    </w:p>
    <w:p>
      <w:pPr>
        <w:autoSpaceDE w:val="0"/>
        <w:autoSpaceDN w:val="0"/>
        <w:adjustRightInd w:val="0"/>
        <w:spacing w:line="500" w:lineRule="exact"/>
        <w:jc w:val="center"/>
        <w:rPr>
          <w:rFonts w:ascii="宋体" w:hAnsi="宋体" w:cs="仿宋"/>
          <w:b/>
          <w:bCs/>
          <w:color w:val="auto"/>
          <w:sz w:val="36"/>
          <w:szCs w:val="36"/>
          <w:lang w:val="zh-CN"/>
        </w:rPr>
      </w:pPr>
    </w:p>
    <w:p>
      <w:pPr>
        <w:autoSpaceDE w:val="0"/>
        <w:autoSpaceDN w:val="0"/>
        <w:adjustRightInd w:val="0"/>
        <w:spacing w:line="500" w:lineRule="exact"/>
        <w:jc w:val="center"/>
        <w:rPr>
          <w:rFonts w:ascii="宋体" w:hAnsi="宋体" w:cs="仿宋"/>
          <w:b/>
          <w:bCs/>
          <w:color w:val="auto"/>
          <w:sz w:val="36"/>
          <w:szCs w:val="36"/>
          <w:lang w:val="zh-CN"/>
        </w:rPr>
      </w:pPr>
    </w:p>
    <w:p>
      <w:pPr>
        <w:autoSpaceDE w:val="0"/>
        <w:autoSpaceDN w:val="0"/>
        <w:adjustRightInd w:val="0"/>
        <w:spacing w:line="500" w:lineRule="exact"/>
        <w:jc w:val="center"/>
        <w:rPr>
          <w:rFonts w:ascii="宋体" w:hAnsi="宋体" w:cs="仿宋"/>
          <w:b/>
          <w:bCs/>
          <w:color w:val="auto"/>
          <w:sz w:val="36"/>
          <w:szCs w:val="36"/>
          <w:lang w:val="zh-CN"/>
        </w:rPr>
      </w:pPr>
    </w:p>
    <w:p>
      <w:pPr>
        <w:autoSpaceDE w:val="0"/>
        <w:autoSpaceDN w:val="0"/>
        <w:adjustRightInd w:val="0"/>
        <w:spacing w:line="500" w:lineRule="exact"/>
        <w:jc w:val="center"/>
        <w:rPr>
          <w:rFonts w:ascii="宋体" w:hAnsi="宋体" w:cs="仿宋"/>
          <w:b/>
          <w:bCs/>
          <w:color w:val="auto"/>
          <w:sz w:val="36"/>
          <w:szCs w:val="36"/>
          <w:lang w:val="zh-CN"/>
        </w:rPr>
      </w:pPr>
    </w:p>
    <w:p>
      <w:pPr>
        <w:autoSpaceDE w:val="0"/>
        <w:autoSpaceDN w:val="0"/>
        <w:adjustRightInd w:val="0"/>
        <w:spacing w:line="500" w:lineRule="exact"/>
        <w:jc w:val="center"/>
        <w:rPr>
          <w:rFonts w:ascii="宋体" w:hAnsi="宋体" w:cs="仿宋"/>
          <w:b/>
          <w:bCs/>
          <w:color w:val="auto"/>
          <w:sz w:val="36"/>
          <w:szCs w:val="36"/>
          <w:lang w:val="zh-CN"/>
        </w:rPr>
      </w:pPr>
    </w:p>
    <w:p>
      <w:pPr>
        <w:autoSpaceDE w:val="0"/>
        <w:autoSpaceDN w:val="0"/>
        <w:adjustRightInd w:val="0"/>
        <w:spacing w:line="500" w:lineRule="exact"/>
        <w:jc w:val="center"/>
        <w:rPr>
          <w:rFonts w:ascii="宋体" w:hAnsi="宋体" w:cs="仿宋"/>
          <w:b/>
          <w:bCs/>
          <w:color w:val="auto"/>
          <w:sz w:val="36"/>
          <w:szCs w:val="36"/>
          <w:lang w:val="zh-CN"/>
        </w:rPr>
      </w:pPr>
    </w:p>
    <w:p>
      <w:pPr>
        <w:autoSpaceDE w:val="0"/>
        <w:autoSpaceDN w:val="0"/>
        <w:adjustRightInd w:val="0"/>
        <w:snapToGrid w:val="0"/>
        <w:spacing w:line="500" w:lineRule="exact"/>
        <w:jc w:val="center"/>
        <w:outlineLvl w:val="0"/>
        <w:rPr>
          <w:rFonts w:ascii="宋体" w:hAnsi="宋体" w:cs="仿宋"/>
          <w:color w:val="auto"/>
          <w:sz w:val="36"/>
          <w:szCs w:val="36"/>
          <w:lang w:val="zh-CN"/>
        </w:rPr>
      </w:pPr>
      <w:r>
        <w:rPr>
          <w:rFonts w:hint="eastAsia" w:ascii="宋体" w:hAnsi="宋体" w:cs="仿宋"/>
          <w:color w:val="auto"/>
          <w:sz w:val="36"/>
          <w:szCs w:val="36"/>
          <w:lang w:val="zh-CN"/>
        </w:rPr>
        <w:br w:type="page"/>
      </w:r>
      <w:bookmarkStart w:id="0" w:name="_Hlk135045982"/>
      <w:r>
        <w:rPr>
          <w:rFonts w:hint="eastAsia" w:ascii="宋体" w:hAnsi="宋体" w:cs="仿宋"/>
          <w:color w:val="auto"/>
          <w:sz w:val="36"/>
          <w:szCs w:val="36"/>
          <w:lang w:val="zh-CN"/>
        </w:rPr>
        <w:t>第一部分  招标公告</w:t>
      </w:r>
    </w:p>
    <w:p>
      <w:pPr>
        <w:adjustRightInd w:val="0"/>
        <w:snapToGrid w:val="0"/>
        <w:spacing w:line="460" w:lineRule="exact"/>
        <w:ind w:firstLine="480" w:firstLineChars="200"/>
        <w:rPr>
          <w:rFonts w:ascii="宋体" w:hAnsi="宋体" w:cs="仿宋"/>
          <w:color w:val="auto"/>
          <w:sz w:val="24"/>
        </w:rPr>
      </w:pPr>
      <w:bookmarkStart w:id="1" w:name="_Hlk141109190"/>
      <w:bookmarkStart w:id="102" w:name="_GoBack"/>
      <w:r>
        <w:rPr>
          <w:rFonts w:hint="eastAsia" w:ascii="宋体" w:hAnsi="宋体" w:cs="仿宋"/>
          <w:color w:val="auto"/>
          <w:sz w:val="24"/>
        </w:rPr>
        <w:t>南通市农业农村局就2024年文书及业务等档案整理服务项目进行公开招标采购，欢迎符合条件的供应商参加。</w:t>
      </w:r>
    </w:p>
    <w:p>
      <w:pPr>
        <w:pBdr>
          <w:top w:val="single" w:color="auto" w:sz="4" w:space="1"/>
          <w:left w:val="single" w:color="auto" w:sz="4" w:space="1"/>
          <w:bottom w:val="single" w:color="auto" w:sz="4" w:space="1"/>
          <w:right w:val="single" w:color="auto" w:sz="4" w:space="4"/>
        </w:pBdr>
        <w:adjustRightInd w:val="0"/>
        <w:snapToGrid w:val="0"/>
        <w:spacing w:line="520" w:lineRule="exact"/>
        <w:ind w:firstLine="480" w:firstLineChars="200"/>
        <w:rPr>
          <w:rFonts w:ascii="宋体" w:hAnsi="宋体" w:cs="仿宋"/>
          <w:color w:val="auto"/>
          <w:sz w:val="24"/>
        </w:rPr>
      </w:pPr>
      <w:r>
        <w:rPr>
          <w:rFonts w:hint="eastAsia" w:ascii="宋体" w:hAnsi="宋体" w:cs="仿宋"/>
          <w:color w:val="auto"/>
          <w:sz w:val="24"/>
        </w:rPr>
        <w:t>项目概况</w:t>
      </w:r>
    </w:p>
    <w:p>
      <w:pPr>
        <w:pBdr>
          <w:top w:val="single" w:color="auto" w:sz="4" w:space="1"/>
          <w:left w:val="single" w:color="auto" w:sz="4" w:space="1"/>
          <w:bottom w:val="single" w:color="auto" w:sz="4" w:space="1"/>
          <w:right w:val="single" w:color="auto" w:sz="4" w:space="4"/>
        </w:pBdr>
        <w:adjustRightInd w:val="0"/>
        <w:snapToGrid w:val="0"/>
        <w:spacing w:line="520" w:lineRule="exact"/>
        <w:ind w:firstLine="480" w:firstLineChars="200"/>
        <w:rPr>
          <w:rFonts w:ascii="宋体" w:hAnsi="宋体" w:cs="仿宋"/>
          <w:color w:val="auto"/>
          <w:sz w:val="24"/>
        </w:rPr>
      </w:pPr>
      <w:r>
        <w:rPr>
          <w:rFonts w:hint="eastAsia" w:ascii="宋体" w:hAnsi="宋体" w:cs="仿宋"/>
          <w:color w:val="auto"/>
          <w:sz w:val="24"/>
        </w:rPr>
        <w:t>南通市农业农村局2024年档案整理服务项目的潜在供应商应在（南通市农业农村局网）获取采购文件，并于</w:t>
      </w:r>
      <w:r>
        <w:rPr>
          <w:rFonts w:hint="eastAsia" w:ascii="宋体" w:hAnsi="宋体" w:cs="仿宋"/>
          <w:b/>
          <w:bCs/>
          <w:color w:val="auto"/>
          <w:sz w:val="24"/>
        </w:rPr>
        <w:t>2025年</w:t>
      </w:r>
      <w:r>
        <w:rPr>
          <w:rFonts w:hint="eastAsia" w:ascii="宋体" w:hAnsi="宋体" w:cs="仿宋"/>
          <w:b/>
          <w:bCs/>
          <w:color w:val="auto"/>
          <w:sz w:val="24"/>
          <w:lang w:val="en-US" w:eastAsia="zh-CN"/>
        </w:rPr>
        <w:t>12</w:t>
      </w:r>
      <w:r>
        <w:rPr>
          <w:rFonts w:hint="eastAsia" w:ascii="宋体" w:hAnsi="宋体" w:cs="仿宋"/>
          <w:b/>
          <w:bCs/>
          <w:color w:val="auto"/>
          <w:sz w:val="24"/>
        </w:rPr>
        <w:t>月</w:t>
      </w:r>
      <w:r>
        <w:rPr>
          <w:rFonts w:hint="eastAsia" w:ascii="宋体" w:hAnsi="宋体" w:cs="仿宋"/>
          <w:b/>
          <w:bCs/>
          <w:color w:val="auto"/>
          <w:sz w:val="24"/>
          <w:lang w:val="en-US" w:eastAsia="zh-CN"/>
        </w:rPr>
        <w:t>23</w:t>
      </w:r>
      <w:r>
        <w:rPr>
          <w:rFonts w:hint="eastAsia" w:ascii="宋体" w:hAnsi="宋体" w:cs="仿宋"/>
          <w:b/>
          <w:bCs/>
          <w:color w:val="auto"/>
          <w:sz w:val="24"/>
        </w:rPr>
        <w:t>日</w:t>
      </w:r>
      <w:r>
        <w:rPr>
          <w:rFonts w:hint="eastAsia" w:ascii="宋体" w:hAnsi="宋体" w:cs="仿宋"/>
          <w:b/>
          <w:bCs/>
          <w:color w:val="auto"/>
          <w:sz w:val="24"/>
          <w:lang w:val="en-US" w:eastAsia="zh-CN"/>
        </w:rPr>
        <w:t>17</w:t>
      </w:r>
      <w:r>
        <w:rPr>
          <w:rFonts w:hint="eastAsia" w:ascii="宋体" w:hAnsi="宋体" w:cs="仿宋"/>
          <w:b/>
          <w:bCs/>
          <w:color w:val="auto"/>
          <w:sz w:val="24"/>
        </w:rPr>
        <w:t>点</w:t>
      </w:r>
      <w:r>
        <w:rPr>
          <w:rFonts w:hint="eastAsia" w:ascii="宋体" w:hAnsi="宋体" w:cs="仿宋"/>
          <w:b/>
          <w:bCs/>
          <w:color w:val="auto"/>
          <w:sz w:val="24"/>
          <w:lang w:val="en-US" w:eastAsia="zh-CN"/>
        </w:rPr>
        <w:t>30</w:t>
      </w:r>
      <w:r>
        <w:rPr>
          <w:rFonts w:hint="eastAsia" w:ascii="宋体" w:hAnsi="宋体" w:cs="仿宋"/>
          <w:b/>
          <w:bCs/>
          <w:color w:val="auto"/>
          <w:sz w:val="24"/>
        </w:rPr>
        <w:t>分</w:t>
      </w:r>
      <w:r>
        <w:rPr>
          <w:rFonts w:hint="eastAsia" w:ascii="宋体" w:hAnsi="宋体" w:cs="仿宋"/>
          <w:color w:val="auto"/>
          <w:sz w:val="24"/>
        </w:rPr>
        <w:t>（北京时间）前提交响应文件。</w:t>
      </w:r>
    </w:p>
    <w:p>
      <w:pPr>
        <w:widowControl/>
        <w:shd w:val="clear" w:color="auto" w:fill="FFFFFF"/>
        <w:adjustRightInd w:val="0"/>
        <w:snapToGrid w:val="0"/>
        <w:spacing w:line="460" w:lineRule="exact"/>
        <w:ind w:firstLine="510" w:firstLineChars="200"/>
        <w:outlineLvl w:val="1"/>
        <w:rPr>
          <w:rFonts w:ascii="宋体" w:hAnsi="宋体" w:cs="仿宋"/>
          <w:b/>
          <w:color w:val="auto"/>
          <w:spacing w:val="7"/>
          <w:kern w:val="0"/>
          <w:sz w:val="24"/>
        </w:rPr>
      </w:pPr>
      <w:r>
        <w:rPr>
          <w:rFonts w:hint="eastAsia" w:ascii="宋体" w:hAnsi="宋体" w:cs="仿宋"/>
          <w:b/>
          <w:color w:val="auto"/>
          <w:spacing w:val="7"/>
          <w:kern w:val="0"/>
          <w:sz w:val="24"/>
        </w:rPr>
        <w:t>一、项目基本情况</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项目名称：南通市农业农村局2024年文书及业务等档案整理服务项目</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项目类型：服务</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所属行业：其它未列明行业</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预算金额：5.5万元</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最高限价：本项目预算限价5.5万元。</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采购需求：详见招标文件第三部分项目需求说明，请仔细研究。</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合同履行期限：自合同签订之日起三月内完成文书档案整理工作。</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本项目是否接受联合体投标：否。</w:t>
      </w:r>
    </w:p>
    <w:p>
      <w:pPr>
        <w:adjustRightInd w:val="0"/>
        <w:snapToGrid w:val="0"/>
        <w:spacing w:line="460" w:lineRule="exact"/>
        <w:ind w:firstLine="482" w:firstLineChars="200"/>
        <w:outlineLvl w:val="1"/>
        <w:rPr>
          <w:rFonts w:ascii="宋体" w:hAnsi="宋体" w:cs="仿宋"/>
          <w:b/>
          <w:bCs/>
          <w:color w:val="auto"/>
          <w:sz w:val="24"/>
        </w:rPr>
      </w:pPr>
      <w:r>
        <w:rPr>
          <w:rFonts w:hint="eastAsia" w:ascii="宋体" w:hAnsi="宋体" w:cs="仿宋"/>
          <w:b/>
          <w:bCs/>
          <w:color w:val="auto"/>
          <w:sz w:val="24"/>
        </w:rPr>
        <w:t>二、供应商的资格要求：</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1.满足《中华人民共和国政府采购法》第二十二条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2.提供有效的营业执照复印件加盖公章；</w:t>
      </w:r>
    </w:p>
    <w:p>
      <w:pPr>
        <w:adjustRightInd w:val="0"/>
        <w:snapToGrid w:val="0"/>
        <w:spacing w:line="460" w:lineRule="exact"/>
        <w:ind w:firstLine="480" w:firstLineChars="200"/>
        <w:rPr>
          <w:rFonts w:ascii="宋体" w:hAnsi="宋体" w:cs="仿宋"/>
          <w:color w:val="auto"/>
          <w:sz w:val="24"/>
          <w:u w:val="single"/>
        </w:rPr>
      </w:pPr>
      <w:r>
        <w:rPr>
          <w:rFonts w:hint="eastAsia" w:ascii="宋体" w:hAnsi="宋体" w:cs="仿宋"/>
          <w:color w:val="auto"/>
          <w:sz w:val="24"/>
        </w:rPr>
        <w:t>3.本项目的特定资格要求：</w:t>
      </w:r>
      <w:r>
        <w:rPr>
          <w:rFonts w:hint="eastAsia" w:ascii="宋体" w:hAnsi="宋体" w:cs="仿宋"/>
          <w:color w:val="auto"/>
          <w:sz w:val="24"/>
          <w:u w:val="single"/>
        </w:rPr>
        <w:t xml:space="preserve"> /。</w:t>
      </w:r>
    </w:p>
    <w:p>
      <w:pPr>
        <w:adjustRightInd w:val="0"/>
        <w:snapToGrid w:val="0"/>
        <w:spacing w:line="460" w:lineRule="exact"/>
        <w:ind w:firstLine="480" w:firstLineChars="200"/>
        <w:rPr>
          <w:rFonts w:ascii="宋体" w:hAnsi="宋体" w:cs="仿宋"/>
          <w:color w:val="auto"/>
          <w:sz w:val="24"/>
          <w:u w:val="single"/>
        </w:rPr>
      </w:pPr>
      <w:r>
        <w:rPr>
          <w:rFonts w:hint="eastAsia" w:ascii="宋体" w:hAnsi="宋体" w:cs="仿宋"/>
          <w:color w:val="auto"/>
          <w:sz w:val="24"/>
        </w:rPr>
        <w:t>4.落实政府采购政策需满足的资格要求：</w:t>
      </w:r>
      <w:r>
        <w:rPr>
          <w:rFonts w:hint="eastAsia" w:ascii="宋体" w:hAnsi="宋体" w:cs="仿宋"/>
          <w:color w:val="auto"/>
          <w:sz w:val="24"/>
          <w:u w:val="single"/>
        </w:rPr>
        <w:t>/。</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5.未被“信用中国”网站（www.creditchina.gov.cn）列入失信被执行人、重大税收违法案件当事人名单，未被“中国政府采购网”（www.ccgp.gov.cn）政府采购不良行为记录名单。</w:t>
      </w:r>
    </w:p>
    <w:p>
      <w:pPr>
        <w:adjustRightInd w:val="0"/>
        <w:snapToGrid w:val="0"/>
        <w:spacing w:line="460" w:lineRule="exact"/>
        <w:ind w:firstLine="480" w:firstLineChars="200"/>
        <w:rPr>
          <w:rFonts w:ascii="宋体" w:hAnsi="宋体" w:cs="仿宋"/>
          <w:color w:val="auto"/>
          <w:sz w:val="24"/>
          <w:u w:val="single"/>
        </w:rPr>
      </w:pPr>
      <w:r>
        <w:rPr>
          <w:rFonts w:hint="eastAsia" w:ascii="宋体" w:hAnsi="宋体" w:cs="仿宋"/>
          <w:color w:val="auto"/>
          <w:sz w:val="24"/>
        </w:rPr>
        <w:t>6.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pPr>
        <w:adjustRightInd w:val="0"/>
        <w:snapToGrid w:val="0"/>
        <w:spacing w:line="460" w:lineRule="exact"/>
        <w:ind w:firstLine="482" w:firstLineChars="200"/>
        <w:rPr>
          <w:rFonts w:ascii="宋体" w:hAnsi="宋体" w:cs="仿宋"/>
          <w:b/>
          <w:bCs/>
          <w:color w:val="auto"/>
          <w:sz w:val="24"/>
        </w:rPr>
      </w:pPr>
      <w:r>
        <w:rPr>
          <w:rFonts w:hint="eastAsia" w:ascii="宋体" w:hAnsi="宋体" w:cs="仿宋"/>
          <w:b/>
          <w:bCs/>
          <w:color w:val="auto"/>
          <w:sz w:val="24"/>
        </w:rPr>
        <w:t>具体资格要求详见第五部分资格审查证明材料</w:t>
      </w:r>
    </w:p>
    <w:p>
      <w:pPr>
        <w:adjustRightInd w:val="0"/>
        <w:snapToGrid w:val="0"/>
        <w:spacing w:line="460" w:lineRule="exact"/>
        <w:ind w:firstLine="482" w:firstLineChars="200"/>
        <w:outlineLvl w:val="1"/>
        <w:rPr>
          <w:rFonts w:ascii="宋体" w:hAnsi="宋体" w:cs="仿宋"/>
          <w:b/>
          <w:bCs/>
          <w:color w:val="auto"/>
          <w:sz w:val="24"/>
        </w:rPr>
      </w:pPr>
      <w:r>
        <w:rPr>
          <w:rFonts w:hint="eastAsia" w:ascii="宋体" w:hAnsi="宋体" w:cs="仿宋"/>
          <w:b/>
          <w:bCs/>
          <w:color w:val="auto"/>
          <w:sz w:val="24"/>
        </w:rPr>
        <w:t>三、获取采购文件</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时间：自挂网之日起至</w:t>
      </w:r>
      <w:r>
        <w:rPr>
          <w:rFonts w:hint="eastAsia" w:ascii="宋体" w:hAnsi="宋体" w:cs="仿宋"/>
          <w:color w:val="auto"/>
          <w:sz w:val="24"/>
        </w:rPr>
        <w:t>2025年</w:t>
      </w:r>
      <w:r>
        <w:rPr>
          <w:rFonts w:hint="eastAsia" w:ascii="宋体" w:hAnsi="宋体" w:cs="仿宋"/>
          <w:color w:val="auto"/>
          <w:sz w:val="24"/>
          <w:lang w:val="en-US" w:eastAsia="zh-CN"/>
        </w:rPr>
        <w:t>12</w:t>
      </w:r>
      <w:r>
        <w:rPr>
          <w:rFonts w:hint="eastAsia" w:ascii="宋体" w:hAnsi="宋体" w:cs="仿宋"/>
          <w:color w:val="auto"/>
          <w:sz w:val="24"/>
        </w:rPr>
        <w:t>月</w:t>
      </w:r>
      <w:r>
        <w:rPr>
          <w:rFonts w:hint="eastAsia" w:ascii="宋体" w:hAnsi="宋体" w:cs="仿宋"/>
          <w:color w:val="auto"/>
          <w:sz w:val="24"/>
          <w:lang w:val="en-US" w:eastAsia="zh-CN"/>
        </w:rPr>
        <w:t>23</w:t>
      </w:r>
      <w:r>
        <w:rPr>
          <w:rFonts w:hint="eastAsia" w:ascii="宋体" w:hAnsi="宋体" w:cs="仿宋"/>
          <w:color w:val="auto"/>
          <w:sz w:val="24"/>
        </w:rPr>
        <w:t>日。</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地点：南通市农业农村局网站。</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方式：网站公告附件处自行下载。</w:t>
      </w:r>
    </w:p>
    <w:p>
      <w:pPr>
        <w:adjustRightInd w:val="0"/>
        <w:snapToGrid w:val="0"/>
        <w:spacing w:line="460" w:lineRule="exact"/>
        <w:ind w:firstLine="482" w:firstLineChars="200"/>
        <w:outlineLvl w:val="1"/>
        <w:rPr>
          <w:rFonts w:ascii="宋体" w:hAnsi="宋体" w:cs="仿宋"/>
          <w:b/>
          <w:color w:val="auto"/>
          <w:sz w:val="24"/>
        </w:rPr>
      </w:pPr>
      <w:r>
        <w:rPr>
          <w:rFonts w:hint="eastAsia" w:ascii="宋体" w:hAnsi="宋体" w:cs="仿宋"/>
          <w:b/>
          <w:color w:val="auto"/>
          <w:sz w:val="24"/>
        </w:rPr>
        <w:t>四、提交响应文件截止时间、评审时间和地点</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2025年</w:t>
      </w:r>
      <w:r>
        <w:rPr>
          <w:rFonts w:hint="eastAsia" w:ascii="宋体" w:hAnsi="宋体" w:cs="仿宋"/>
          <w:color w:val="auto"/>
          <w:sz w:val="24"/>
          <w:lang w:val="en-US" w:eastAsia="zh-CN"/>
        </w:rPr>
        <w:t>12</w:t>
      </w:r>
      <w:r>
        <w:rPr>
          <w:rFonts w:hint="eastAsia" w:ascii="宋体" w:hAnsi="宋体" w:cs="仿宋"/>
          <w:color w:val="auto"/>
          <w:sz w:val="24"/>
        </w:rPr>
        <w:t>月</w:t>
      </w:r>
      <w:r>
        <w:rPr>
          <w:rFonts w:hint="eastAsia" w:ascii="宋体" w:hAnsi="宋体" w:cs="仿宋"/>
          <w:color w:val="auto"/>
          <w:sz w:val="24"/>
          <w:lang w:val="en-US" w:eastAsia="zh-CN"/>
        </w:rPr>
        <w:t>23</w:t>
      </w:r>
      <w:r>
        <w:rPr>
          <w:rFonts w:hint="eastAsia" w:ascii="宋体" w:hAnsi="宋体" w:cs="仿宋"/>
          <w:color w:val="auto"/>
          <w:sz w:val="24"/>
        </w:rPr>
        <w:t>日1</w:t>
      </w:r>
      <w:r>
        <w:rPr>
          <w:rFonts w:hint="eastAsia" w:ascii="宋体" w:hAnsi="宋体" w:cs="仿宋"/>
          <w:color w:val="auto"/>
          <w:sz w:val="24"/>
          <w:lang w:val="en-US" w:eastAsia="zh-CN"/>
        </w:rPr>
        <w:t>7</w:t>
      </w:r>
      <w:r>
        <w:rPr>
          <w:rFonts w:hint="eastAsia" w:ascii="宋体" w:hAnsi="宋体" w:cs="仿宋"/>
          <w:color w:val="auto"/>
          <w:sz w:val="24"/>
        </w:rPr>
        <w:t>点</w:t>
      </w:r>
      <w:r>
        <w:rPr>
          <w:rFonts w:ascii="宋体" w:hAnsi="宋体" w:cs="仿宋"/>
          <w:color w:val="auto"/>
          <w:sz w:val="24"/>
        </w:rPr>
        <w:t>3</w:t>
      </w:r>
      <w:r>
        <w:rPr>
          <w:rFonts w:hint="eastAsia" w:ascii="宋体" w:hAnsi="宋体" w:cs="仿宋"/>
          <w:color w:val="auto"/>
          <w:sz w:val="24"/>
        </w:rPr>
        <w:t>0分（北京时间）逾时，采购人将拒绝接受投标响应文件。</w:t>
      </w:r>
    </w:p>
    <w:p>
      <w:pPr>
        <w:adjustRightInd w:val="0"/>
        <w:snapToGrid w:val="0"/>
        <w:spacing w:line="460" w:lineRule="exact"/>
        <w:ind w:firstLine="480" w:firstLineChars="200"/>
        <w:rPr>
          <w:rFonts w:hint="eastAsia" w:ascii="宋体" w:hAnsi="宋体" w:cs="仿宋"/>
          <w:color w:val="auto"/>
          <w:sz w:val="24"/>
        </w:rPr>
      </w:pPr>
      <w:r>
        <w:rPr>
          <w:rFonts w:hint="eastAsia" w:ascii="宋体" w:hAnsi="宋体" w:cs="仿宋"/>
          <w:color w:val="auto"/>
          <w:sz w:val="24"/>
        </w:rPr>
        <w:t>地点：南通市姚港路46号南通市农业农村局</w:t>
      </w:r>
      <w:r>
        <w:rPr>
          <w:rFonts w:hint="eastAsia" w:ascii="宋体" w:hAnsi="宋体" w:cs="仿宋"/>
          <w:color w:val="auto"/>
          <w:sz w:val="24"/>
          <w:lang w:val="en-US" w:eastAsia="zh-CN"/>
        </w:rPr>
        <w:t>503办公室</w:t>
      </w:r>
      <w:r>
        <w:rPr>
          <w:rFonts w:hint="eastAsia" w:ascii="宋体" w:hAnsi="宋体" w:cs="仿宋"/>
          <w:color w:val="auto"/>
          <w:sz w:val="24"/>
        </w:rPr>
        <w:t>。</w:t>
      </w:r>
    </w:p>
    <w:p>
      <w:pPr>
        <w:adjustRightInd w:val="0"/>
        <w:snapToGrid w:val="0"/>
        <w:spacing w:line="460" w:lineRule="exact"/>
        <w:ind w:firstLine="482" w:firstLineChars="200"/>
        <w:outlineLvl w:val="1"/>
        <w:rPr>
          <w:rFonts w:ascii="宋体" w:hAnsi="宋体" w:cs="仿宋"/>
          <w:b/>
          <w:color w:val="auto"/>
          <w:sz w:val="24"/>
        </w:rPr>
      </w:pPr>
      <w:r>
        <w:rPr>
          <w:rFonts w:hint="eastAsia" w:ascii="宋体" w:hAnsi="宋体" w:cs="仿宋"/>
          <w:b/>
          <w:color w:val="auto"/>
          <w:sz w:val="24"/>
        </w:rPr>
        <w:t>五、公告期限</w:t>
      </w:r>
    </w:p>
    <w:p>
      <w:pPr>
        <w:adjustRightInd w:val="0"/>
        <w:snapToGrid w:val="0"/>
        <w:spacing w:line="460" w:lineRule="exact"/>
        <w:ind w:firstLine="480" w:firstLineChars="200"/>
        <w:rPr>
          <w:rFonts w:hint="eastAsia" w:ascii="宋体" w:hAnsi="宋体" w:cs="仿宋"/>
          <w:color w:val="auto"/>
          <w:sz w:val="24"/>
        </w:rPr>
      </w:pPr>
      <w:r>
        <w:rPr>
          <w:rFonts w:hint="eastAsia" w:ascii="宋体" w:hAnsi="宋体" w:cs="仿宋"/>
          <w:color w:val="auto"/>
          <w:sz w:val="24"/>
        </w:rPr>
        <w:t>自本公告发布之日起</w:t>
      </w:r>
      <w:r>
        <w:rPr>
          <w:rFonts w:hint="eastAsia" w:ascii="宋体" w:hAnsi="宋体" w:cs="仿宋"/>
          <w:color w:val="auto"/>
          <w:sz w:val="24"/>
          <w:lang w:val="en-US" w:eastAsia="zh-CN"/>
        </w:rPr>
        <w:t>20</w:t>
      </w:r>
      <w:r>
        <w:rPr>
          <w:rFonts w:hint="eastAsia" w:ascii="宋体" w:hAnsi="宋体" w:cs="仿宋"/>
          <w:color w:val="auto"/>
          <w:sz w:val="24"/>
        </w:rPr>
        <w:t>日。</w:t>
      </w:r>
    </w:p>
    <w:p>
      <w:pPr>
        <w:adjustRightInd w:val="0"/>
        <w:snapToGrid w:val="0"/>
        <w:spacing w:line="460" w:lineRule="exact"/>
        <w:ind w:firstLine="482" w:firstLineChars="200"/>
        <w:outlineLvl w:val="1"/>
        <w:rPr>
          <w:rFonts w:hint="eastAsia" w:ascii="宋体" w:hAnsi="宋体" w:cs="仿宋"/>
          <w:b/>
          <w:color w:val="auto"/>
          <w:sz w:val="24"/>
          <w:lang w:val="en-US" w:eastAsia="zh-CN"/>
        </w:rPr>
      </w:pPr>
      <w:r>
        <w:rPr>
          <w:rFonts w:hint="eastAsia" w:ascii="宋体" w:hAnsi="宋体" w:cs="仿宋"/>
          <w:b/>
          <w:color w:val="auto"/>
          <w:sz w:val="24"/>
          <w:lang w:val="en-US" w:eastAsia="zh-CN"/>
        </w:rPr>
        <w:t>六、开标时间</w:t>
      </w:r>
    </w:p>
    <w:p>
      <w:pPr>
        <w:adjustRightInd w:val="0"/>
        <w:snapToGrid w:val="0"/>
        <w:spacing w:line="460" w:lineRule="exact"/>
        <w:ind w:firstLine="480" w:firstLineChars="200"/>
        <w:rPr>
          <w:rFonts w:hint="eastAsia" w:ascii="宋体" w:hAnsi="宋体" w:cs="仿宋"/>
          <w:color w:val="auto"/>
          <w:sz w:val="24"/>
          <w:lang w:val="en-US" w:eastAsia="zh-CN"/>
        </w:rPr>
      </w:pPr>
      <w:r>
        <w:rPr>
          <w:rFonts w:hint="eastAsia" w:ascii="宋体" w:hAnsi="宋体" w:cs="仿宋"/>
          <w:color w:val="auto"/>
          <w:sz w:val="24"/>
          <w:lang w:val="en-US" w:eastAsia="zh-CN"/>
        </w:rPr>
        <w:t>2025年12月24日（星期三）下午15:00。</w:t>
      </w:r>
    </w:p>
    <w:p>
      <w:pPr>
        <w:adjustRightInd w:val="0"/>
        <w:snapToGrid w:val="0"/>
        <w:spacing w:line="460" w:lineRule="exact"/>
        <w:ind w:firstLine="482" w:firstLineChars="200"/>
        <w:outlineLvl w:val="1"/>
        <w:rPr>
          <w:rFonts w:hint="eastAsia" w:ascii="宋体" w:hAnsi="宋体" w:cs="仿宋"/>
          <w:b/>
          <w:color w:val="auto"/>
          <w:sz w:val="24"/>
          <w:lang w:val="en-US" w:eastAsia="zh-CN"/>
        </w:rPr>
      </w:pPr>
      <w:r>
        <w:rPr>
          <w:rFonts w:hint="eastAsia" w:ascii="宋体" w:hAnsi="宋体" w:cs="仿宋"/>
          <w:b/>
          <w:color w:val="auto"/>
          <w:sz w:val="24"/>
          <w:lang w:val="en-US" w:eastAsia="zh-CN"/>
        </w:rPr>
        <w:t>七、评标方法</w:t>
      </w:r>
    </w:p>
    <w:p>
      <w:pPr>
        <w:adjustRightInd w:val="0"/>
        <w:snapToGrid w:val="0"/>
        <w:spacing w:line="460" w:lineRule="exact"/>
        <w:ind w:firstLine="480" w:firstLineChars="200"/>
        <w:rPr>
          <w:rFonts w:hint="default" w:ascii="宋体" w:hAnsi="宋体" w:cs="仿宋"/>
          <w:color w:val="auto"/>
          <w:sz w:val="24"/>
          <w:lang w:val="en-US" w:eastAsia="zh-CN"/>
        </w:rPr>
      </w:pPr>
      <w:r>
        <w:rPr>
          <w:rFonts w:hint="eastAsia" w:ascii="宋体" w:hAnsi="宋体" w:cs="仿宋"/>
          <w:color w:val="auto"/>
          <w:sz w:val="24"/>
          <w:lang w:val="en-US" w:eastAsia="zh-CN"/>
        </w:rPr>
        <w:t>见投标须知</w:t>
      </w:r>
      <w:r>
        <w:rPr>
          <w:rFonts w:hint="eastAsia" w:ascii="宋体" w:hAnsi="宋体" w:cs="仿宋"/>
          <w:color w:val="auto"/>
          <w:sz w:val="24"/>
        </w:rPr>
        <w:t>评审方法和评审标准</w:t>
      </w:r>
    </w:p>
    <w:p>
      <w:pPr>
        <w:adjustRightInd w:val="0"/>
        <w:snapToGrid w:val="0"/>
        <w:spacing w:line="460" w:lineRule="exact"/>
        <w:ind w:firstLine="482" w:firstLineChars="200"/>
        <w:outlineLvl w:val="1"/>
        <w:rPr>
          <w:rFonts w:ascii="宋体" w:hAnsi="宋体" w:cs="仿宋"/>
          <w:b/>
          <w:color w:val="auto"/>
          <w:sz w:val="24"/>
        </w:rPr>
      </w:pPr>
      <w:r>
        <w:rPr>
          <w:rFonts w:hint="eastAsia" w:ascii="宋体" w:hAnsi="宋体" w:cs="仿宋"/>
          <w:b/>
          <w:color w:val="auto"/>
          <w:sz w:val="24"/>
          <w:lang w:val="en-US" w:eastAsia="zh-CN"/>
        </w:rPr>
        <w:t>八</w:t>
      </w:r>
      <w:r>
        <w:rPr>
          <w:rFonts w:hint="eastAsia" w:ascii="宋体" w:hAnsi="宋体" w:cs="仿宋"/>
          <w:b/>
          <w:color w:val="auto"/>
          <w:sz w:val="24"/>
        </w:rPr>
        <w:t>、其他补充事宜</w:t>
      </w:r>
    </w:p>
    <w:p>
      <w:pPr>
        <w:adjustRightInd w:val="0"/>
        <w:snapToGrid w:val="0"/>
        <w:spacing w:line="460" w:lineRule="exact"/>
        <w:ind w:firstLine="480" w:firstLineChars="200"/>
        <w:rPr>
          <w:rFonts w:hint="eastAsia" w:ascii="宋体" w:hAnsi="宋体" w:cs="仿宋"/>
          <w:color w:val="auto"/>
          <w:sz w:val="24"/>
        </w:rPr>
      </w:pPr>
      <w:r>
        <w:rPr>
          <w:rFonts w:hint="eastAsia" w:ascii="宋体" w:hAnsi="宋体" w:cs="仿宋"/>
          <w:color w:val="auto"/>
          <w:sz w:val="24"/>
        </w:rPr>
        <w:t>1.投标保证金：免收。</w:t>
      </w:r>
    </w:p>
    <w:p>
      <w:pPr>
        <w:adjustRightInd w:val="0"/>
        <w:snapToGrid w:val="0"/>
        <w:spacing w:line="460" w:lineRule="exact"/>
        <w:ind w:firstLine="480" w:firstLineChars="200"/>
        <w:rPr>
          <w:rFonts w:hint="eastAsia" w:ascii="宋体" w:hAnsi="宋体" w:cs="仿宋"/>
          <w:color w:val="auto"/>
          <w:sz w:val="24"/>
          <w:lang w:val="en-US" w:eastAsia="zh-CN"/>
        </w:rPr>
      </w:pPr>
      <w:r>
        <w:rPr>
          <w:rFonts w:hint="eastAsia" w:ascii="宋体" w:hAnsi="宋体" w:cs="仿宋"/>
          <w:color w:val="auto"/>
          <w:sz w:val="24"/>
          <w:lang w:val="en-US" w:eastAsia="zh-CN"/>
        </w:rPr>
        <w:t>2.供应商报价高于最高限价的，其报价将视为无效响应。</w:t>
      </w:r>
    </w:p>
    <w:p>
      <w:pPr>
        <w:adjustRightInd w:val="0"/>
        <w:snapToGrid w:val="0"/>
        <w:spacing w:line="460" w:lineRule="exact"/>
        <w:ind w:firstLine="480" w:firstLineChars="200"/>
        <w:rPr>
          <w:rFonts w:hint="eastAsia" w:ascii="宋体" w:hAnsi="宋体" w:cs="仿宋"/>
          <w:color w:val="auto"/>
          <w:sz w:val="24"/>
          <w:lang w:val="en-US" w:eastAsia="zh-CN"/>
        </w:rPr>
      </w:pPr>
      <w:r>
        <w:rPr>
          <w:rFonts w:hint="eastAsia" w:ascii="宋体" w:hAnsi="宋体" w:cs="仿宋"/>
          <w:color w:val="auto"/>
          <w:sz w:val="24"/>
          <w:lang w:val="en-US" w:eastAsia="zh-CN"/>
        </w:rPr>
        <w:t>3.项目演示、样品、答辩等（如有请描述）：无。</w:t>
      </w:r>
    </w:p>
    <w:p>
      <w:pPr>
        <w:adjustRightInd w:val="0"/>
        <w:snapToGrid w:val="0"/>
        <w:spacing w:line="460" w:lineRule="exact"/>
        <w:ind w:firstLine="480" w:firstLineChars="200"/>
        <w:rPr>
          <w:rFonts w:hint="eastAsia" w:ascii="宋体" w:hAnsi="宋体" w:cs="仿宋"/>
          <w:color w:val="auto"/>
          <w:sz w:val="24"/>
        </w:rPr>
      </w:pPr>
      <w:r>
        <w:rPr>
          <w:rFonts w:hint="eastAsia" w:ascii="宋体" w:hAnsi="宋体" w:cs="仿宋"/>
          <w:color w:val="auto"/>
          <w:sz w:val="24"/>
          <w:lang w:val="en-US" w:eastAsia="zh-CN"/>
        </w:rPr>
        <w:t>4</w:t>
      </w:r>
      <w:r>
        <w:rPr>
          <w:rFonts w:hint="eastAsia" w:ascii="宋体" w:hAnsi="宋体" w:cs="仿宋"/>
          <w:color w:val="auto"/>
          <w:sz w:val="24"/>
        </w:rPr>
        <w:t>.对项目需求部分（供应商资格要求、项目需求、商务技术评分标准）的询问、质疑请向采购人提出，由采购人负责答复；对项目招标文件其它部分的询问请向招标文件制作人或项目招标经办人提出。</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lang w:val="en-US" w:eastAsia="zh-CN"/>
        </w:rPr>
        <w:t>5</w:t>
      </w:r>
      <w:r>
        <w:rPr>
          <w:rFonts w:hint="eastAsia" w:ascii="宋体" w:hAnsi="宋体" w:cs="仿宋"/>
          <w:color w:val="auto"/>
          <w:sz w:val="24"/>
        </w:rPr>
        <w:t>.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pPr>
        <w:widowControl/>
        <w:shd w:val="clear" w:color="auto" w:fill="FFFFFF"/>
        <w:adjustRightInd w:val="0"/>
        <w:snapToGrid w:val="0"/>
        <w:spacing w:line="460" w:lineRule="exact"/>
        <w:ind w:firstLine="510" w:firstLineChars="200"/>
        <w:outlineLvl w:val="1"/>
        <w:rPr>
          <w:rFonts w:ascii="宋体" w:hAnsi="宋体" w:cs="仿宋"/>
          <w:b/>
          <w:color w:val="auto"/>
          <w:spacing w:val="7"/>
          <w:kern w:val="0"/>
          <w:sz w:val="24"/>
        </w:rPr>
      </w:pPr>
      <w:r>
        <w:rPr>
          <w:rFonts w:hint="eastAsia" w:ascii="宋体" w:hAnsi="宋体" w:cs="仿宋"/>
          <w:b/>
          <w:color w:val="auto"/>
          <w:spacing w:val="7"/>
          <w:kern w:val="0"/>
          <w:sz w:val="24"/>
          <w:lang w:val="en-US" w:eastAsia="zh-CN"/>
        </w:rPr>
        <w:t>九</w:t>
      </w:r>
      <w:r>
        <w:rPr>
          <w:rFonts w:hint="eastAsia" w:ascii="宋体" w:hAnsi="宋体" w:cs="仿宋"/>
          <w:b/>
          <w:color w:val="auto"/>
          <w:spacing w:val="7"/>
          <w:kern w:val="0"/>
          <w:sz w:val="24"/>
        </w:rPr>
        <w:t>、凡对本次采购提出询问，请按以下方式联系。</w:t>
      </w:r>
    </w:p>
    <w:bookmarkEnd w:id="0"/>
    <w:bookmarkEnd w:id="1"/>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1.采购人信息</w:t>
      </w:r>
    </w:p>
    <w:p>
      <w:pPr>
        <w:widowControl/>
        <w:shd w:val="clear" w:color="auto" w:fill="FFFFFF"/>
        <w:adjustRightInd w:val="0"/>
        <w:snapToGrid w:val="0"/>
        <w:spacing w:line="460" w:lineRule="exact"/>
        <w:ind w:firstLine="480" w:firstLineChars="200"/>
        <w:jc w:val="left"/>
        <w:rPr>
          <w:rFonts w:ascii="宋体" w:hAnsi="宋体" w:cs="仿宋"/>
          <w:color w:val="auto"/>
          <w:sz w:val="24"/>
        </w:rPr>
      </w:pPr>
      <w:r>
        <w:rPr>
          <w:rFonts w:hint="eastAsia" w:ascii="宋体" w:hAnsi="宋体" w:cs="仿宋"/>
          <w:color w:val="auto"/>
          <w:sz w:val="24"/>
        </w:rPr>
        <w:t>名称：南通市农业农村局</w:t>
      </w:r>
    </w:p>
    <w:p>
      <w:pPr>
        <w:widowControl/>
        <w:shd w:val="clear" w:color="auto" w:fill="FFFFFF"/>
        <w:adjustRightInd w:val="0"/>
        <w:snapToGrid w:val="0"/>
        <w:spacing w:line="460" w:lineRule="exact"/>
        <w:ind w:firstLine="480" w:firstLineChars="200"/>
        <w:jc w:val="left"/>
        <w:rPr>
          <w:rFonts w:ascii="宋体" w:hAnsi="宋体" w:cs="仿宋"/>
          <w:color w:val="auto"/>
          <w:sz w:val="24"/>
        </w:rPr>
      </w:pPr>
      <w:r>
        <w:rPr>
          <w:rFonts w:hint="eastAsia" w:ascii="宋体" w:hAnsi="宋体" w:cs="仿宋"/>
          <w:color w:val="auto"/>
          <w:sz w:val="24"/>
        </w:rPr>
        <w:t>地址：南通市姚港路46号</w:t>
      </w:r>
    </w:p>
    <w:p>
      <w:pPr>
        <w:widowControl/>
        <w:shd w:val="clear" w:color="auto" w:fill="FFFFFF"/>
        <w:adjustRightInd w:val="0"/>
        <w:snapToGrid w:val="0"/>
        <w:spacing w:line="460" w:lineRule="exact"/>
        <w:ind w:firstLine="480" w:firstLineChars="200"/>
        <w:jc w:val="left"/>
        <w:rPr>
          <w:rFonts w:hint="default" w:ascii="宋体" w:hAnsi="宋体" w:cs="仿宋"/>
          <w:color w:val="auto"/>
          <w:sz w:val="24"/>
          <w:lang w:val="en-US" w:eastAsia="zh-CN"/>
        </w:rPr>
      </w:pPr>
      <w:r>
        <w:rPr>
          <w:rFonts w:hint="eastAsia" w:ascii="宋体" w:hAnsi="宋体" w:cs="仿宋"/>
          <w:color w:val="auto"/>
          <w:sz w:val="24"/>
        </w:rPr>
        <w:t>联系人：孙</w:t>
      </w:r>
      <w:r>
        <w:rPr>
          <w:rFonts w:hint="eastAsia" w:ascii="宋体" w:hAnsi="宋体" w:cs="仿宋"/>
          <w:color w:val="auto"/>
          <w:sz w:val="24"/>
          <w:lang w:val="en-US" w:eastAsia="zh-CN"/>
        </w:rPr>
        <w:t>先生</w:t>
      </w:r>
      <w:r>
        <w:rPr>
          <w:rFonts w:hint="eastAsia" w:ascii="宋体" w:hAnsi="宋体" w:cs="仿宋"/>
          <w:color w:val="auto"/>
          <w:sz w:val="24"/>
        </w:rPr>
        <w:t>，</w:t>
      </w:r>
      <w:r>
        <w:rPr>
          <w:rFonts w:hint="eastAsia" w:ascii="宋体" w:hAnsi="宋体" w:cs="仿宋"/>
          <w:color w:val="auto"/>
          <w:sz w:val="24"/>
          <w:lang w:val="en-US" w:eastAsia="zh-CN"/>
        </w:rPr>
        <w:t xml:space="preserve">  </w:t>
      </w:r>
      <w:r>
        <w:rPr>
          <w:rFonts w:hint="eastAsia" w:ascii="宋体" w:hAnsi="宋体" w:cs="仿宋"/>
          <w:color w:val="auto"/>
          <w:sz w:val="24"/>
        </w:rPr>
        <w:t>电话：</w:t>
      </w:r>
      <w:r>
        <w:rPr>
          <w:rFonts w:hint="eastAsia" w:ascii="宋体" w:hAnsi="宋体" w:cs="仿宋"/>
          <w:color w:val="auto"/>
          <w:sz w:val="24"/>
          <w:lang w:val="en-US" w:eastAsia="zh-CN"/>
        </w:rPr>
        <w:t>0513-59002123</w:t>
      </w:r>
    </w:p>
    <w:p>
      <w:pPr>
        <w:widowControl/>
        <w:shd w:val="clear" w:color="auto" w:fill="FFFFFF"/>
        <w:adjustRightInd w:val="0"/>
        <w:snapToGrid w:val="0"/>
        <w:spacing w:line="460" w:lineRule="exact"/>
        <w:ind w:firstLine="480" w:firstLineChars="200"/>
        <w:jc w:val="left"/>
        <w:rPr>
          <w:rFonts w:hint="eastAsia" w:ascii="宋体" w:hAnsi="宋体" w:cs="仿宋"/>
          <w:color w:val="auto"/>
          <w:sz w:val="24"/>
          <w:lang w:val="en-US" w:eastAsia="zh-CN"/>
        </w:rPr>
      </w:pPr>
      <w:r>
        <w:rPr>
          <w:rFonts w:hint="eastAsia" w:ascii="宋体" w:hAnsi="宋体" w:cs="仿宋"/>
          <w:color w:val="auto"/>
          <w:sz w:val="24"/>
          <w:lang w:val="en-US" w:eastAsia="zh-CN"/>
        </w:rPr>
        <w:t>监督电话：</w:t>
      </w:r>
      <w:r>
        <w:rPr>
          <w:rFonts w:hint="eastAsia" w:ascii="宋体" w:hAnsi="宋体" w:cs="仿宋"/>
          <w:color w:val="auto"/>
          <w:sz w:val="24"/>
        </w:rPr>
        <w:t>沈女士</w:t>
      </w:r>
      <w:r>
        <w:rPr>
          <w:rFonts w:hint="eastAsia" w:ascii="宋体" w:hAnsi="宋体" w:cs="仿宋"/>
          <w:color w:val="auto"/>
          <w:sz w:val="24"/>
          <w:lang w:val="en-US" w:eastAsia="zh-CN"/>
        </w:rPr>
        <w:t xml:space="preserve">  </w:t>
      </w:r>
      <w:r>
        <w:rPr>
          <w:rFonts w:hint="eastAsia" w:ascii="宋体" w:hAnsi="宋体" w:cs="仿宋"/>
          <w:color w:val="auto"/>
          <w:sz w:val="24"/>
        </w:rPr>
        <w:t>电话：0513-59002196</w:t>
      </w:r>
      <w:bookmarkEnd w:id="102"/>
    </w:p>
    <w:p>
      <w:pPr>
        <w:widowControl/>
        <w:shd w:val="clear" w:color="auto" w:fill="FFFFFF"/>
        <w:adjustRightInd w:val="0"/>
        <w:snapToGrid w:val="0"/>
        <w:spacing w:line="460" w:lineRule="exact"/>
        <w:ind w:firstLine="480" w:firstLineChars="200"/>
        <w:jc w:val="left"/>
        <w:rPr>
          <w:rFonts w:hint="eastAsia" w:ascii="宋体" w:hAnsi="宋体" w:cs="仿宋"/>
          <w:color w:val="auto"/>
          <w:sz w:val="24"/>
          <w:lang w:val="zh-CN"/>
        </w:rPr>
        <w:sectPr>
          <w:headerReference r:id="rId3" w:type="default"/>
          <w:footerReference r:id="rId4" w:type="default"/>
          <w:pgSz w:w="11907" w:h="16839"/>
          <w:pgMar w:top="1440" w:right="1800" w:bottom="1440" w:left="1800" w:header="720" w:footer="720" w:gutter="0"/>
          <w:cols w:space="720" w:num="1"/>
          <w:docGrid w:linePitch="286" w:charSpace="0"/>
        </w:sectPr>
      </w:pPr>
      <w:r>
        <w:rPr>
          <w:rFonts w:hint="eastAsia" w:ascii="宋体" w:hAnsi="宋体" w:cs="仿宋"/>
          <w:color w:val="auto"/>
          <w:sz w:val="24"/>
          <w:lang w:val="zh-CN"/>
        </w:rPr>
        <w:br w:type="page"/>
      </w:r>
    </w:p>
    <w:p>
      <w:pPr>
        <w:adjustRightInd w:val="0"/>
        <w:snapToGrid w:val="0"/>
        <w:spacing w:line="360" w:lineRule="auto"/>
        <w:ind w:firstLine="720" w:firstLineChars="200"/>
        <w:jc w:val="center"/>
        <w:outlineLvl w:val="0"/>
        <w:rPr>
          <w:rFonts w:ascii="宋体" w:hAnsi="宋体" w:cs="仿宋"/>
          <w:color w:val="auto"/>
          <w:sz w:val="36"/>
          <w:szCs w:val="36"/>
          <w:lang w:val="zh-CN"/>
        </w:rPr>
      </w:pPr>
      <w:r>
        <w:rPr>
          <w:rFonts w:hint="eastAsia" w:ascii="宋体" w:hAnsi="宋体" w:cs="仿宋"/>
          <w:color w:val="auto"/>
          <w:sz w:val="36"/>
          <w:szCs w:val="36"/>
          <w:lang w:val="zh-CN"/>
        </w:rPr>
        <w:t>第二部分 投标须知</w:t>
      </w:r>
    </w:p>
    <w:p>
      <w:pPr>
        <w:keepNext/>
        <w:keepLines/>
        <w:adjustRightInd w:val="0"/>
        <w:snapToGrid w:val="0"/>
        <w:spacing w:line="460" w:lineRule="exact"/>
        <w:ind w:firstLine="482" w:firstLineChars="200"/>
        <w:outlineLvl w:val="1"/>
        <w:rPr>
          <w:rFonts w:ascii="宋体" w:hAnsi="宋体" w:cs="仿宋"/>
          <w:b/>
          <w:bCs/>
          <w:color w:val="auto"/>
          <w:kern w:val="0"/>
          <w:sz w:val="24"/>
        </w:rPr>
      </w:pPr>
      <w:bookmarkStart w:id="2" w:name="_Toc16938519"/>
      <w:bookmarkStart w:id="3" w:name="_Toc20823275"/>
      <w:bookmarkStart w:id="4" w:name="_Toc513029203"/>
      <w:bookmarkStart w:id="5" w:name="_Toc120614214"/>
      <w:r>
        <w:rPr>
          <w:rFonts w:hint="eastAsia" w:ascii="宋体" w:hAnsi="宋体" w:cs="仿宋"/>
          <w:b/>
          <w:bCs/>
          <w:color w:val="auto"/>
          <w:kern w:val="0"/>
          <w:sz w:val="24"/>
        </w:rPr>
        <w:t>一、总则</w:t>
      </w:r>
      <w:bookmarkEnd w:id="2"/>
      <w:bookmarkEnd w:id="3"/>
      <w:bookmarkEnd w:id="4"/>
      <w:bookmarkEnd w:id="5"/>
    </w:p>
    <w:p>
      <w:pPr>
        <w:keepNext/>
        <w:adjustRightInd w:val="0"/>
        <w:snapToGrid w:val="0"/>
        <w:spacing w:line="460" w:lineRule="exact"/>
        <w:ind w:firstLine="480" w:firstLineChars="200"/>
        <w:rPr>
          <w:rFonts w:ascii="宋体" w:hAnsi="宋体" w:cs="仿宋"/>
          <w:b/>
          <w:bCs/>
          <w:color w:val="auto"/>
          <w:kern w:val="0"/>
          <w:sz w:val="24"/>
        </w:rPr>
      </w:pPr>
      <w:bookmarkStart w:id="6" w:name="_Hlt16619475"/>
      <w:bookmarkEnd w:id="6"/>
      <w:bookmarkStart w:id="7" w:name="_Toc458694821"/>
      <w:bookmarkStart w:id="8" w:name="_Toc513029204"/>
      <w:bookmarkStart w:id="9" w:name="_Toc16938520"/>
      <w:bookmarkStart w:id="10" w:name="_Toc20823276"/>
      <w:r>
        <w:rPr>
          <w:rFonts w:hint="eastAsia" w:ascii="宋体" w:hAnsi="宋体" w:cs="仿宋"/>
          <w:color w:val="auto"/>
          <w:kern w:val="0"/>
          <w:sz w:val="24"/>
        </w:rPr>
        <w:t>1</w:t>
      </w:r>
      <w:bookmarkEnd w:id="7"/>
      <w:r>
        <w:rPr>
          <w:rFonts w:hint="eastAsia" w:ascii="宋体" w:hAnsi="宋体" w:cs="仿宋"/>
          <w:color w:val="auto"/>
          <w:kern w:val="0"/>
          <w:sz w:val="24"/>
        </w:rPr>
        <w:t>.采购方式</w:t>
      </w:r>
      <w:bookmarkEnd w:id="8"/>
      <w:bookmarkEnd w:id="9"/>
      <w:bookmarkEnd w:id="10"/>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1.1 本次采取公开招标方式，本招标文件仅适用于招标公告中所述项目。</w:t>
      </w:r>
    </w:p>
    <w:p>
      <w:pPr>
        <w:keepNext/>
        <w:adjustRightInd w:val="0"/>
        <w:snapToGrid w:val="0"/>
        <w:spacing w:line="460" w:lineRule="exact"/>
        <w:ind w:firstLine="480" w:firstLineChars="200"/>
        <w:rPr>
          <w:rFonts w:ascii="宋体" w:hAnsi="宋体" w:cs="仿宋"/>
          <w:b/>
          <w:bCs/>
          <w:color w:val="auto"/>
          <w:kern w:val="0"/>
          <w:sz w:val="24"/>
        </w:rPr>
      </w:pPr>
      <w:bookmarkStart w:id="11" w:name="_Toc16938521"/>
      <w:bookmarkStart w:id="12" w:name="_Toc20823277"/>
      <w:bookmarkStart w:id="13" w:name="_Toc513029205"/>
      <w:r>
        <w:rPr>
          <w:rFonts w:hint="eastAsia" w:ascii="宋体" w:hAnsi="宋体" w:cs="仿宋"/>
          <w:color w:val="auto"/>
          <w:kern w:val="0"/>
          <w:sz w:val="24"/>
        </w:rPr>
        <w:t>2.合格的</w:t>
      </w:r>
      <w:bookmarkEnd w:id="11"/>
      <w:bookmarkEnd w:id="12"/>
      <w:bookmarkEnd w:id="13"/>
      <w:r>
        <w:rPr>
          <w:rFonts w:hint="eastAsia" w:ascii="宋体" w:hAnsi="宋体" w:cs="仿宋"/>
          <w:color w:val="auto"/>
          <w:kern w:val="0"/>
          <w:sz w:val="24"/>
        </w:rPr>
        <w:t>供应商</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2.1满足招标公告中供应商的资格要求的规定。</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2.2 满足本文件实质性条款的规定。</w:t>
      </w:r>
    </w:p>
    <w:p>
      <w:pPr>
        <w:keepNext/>
        <w:adjustRightInd w:val="0"/>
        <w:snapToGrid w:val="0"/>
        <w:spacing w:line="460" w:lineRule="exact"/>
        <w:ind w:firstLine="480" w:firstLineChars="200"/>
        <w:rPr>
          <w:rFonts w:ascii="宋体" w:hAnsi="宋体" w:cs="仿宋"/>
          <w:b/>
          <w:bCs/>
          <w:color w:val="auto"/>
          <w:kern w:val="0"/>
          <w:sz w:val="24"/>
        </w:rPr>
      </w:pPr>
      <w:bookmarkStart w:id="14" w:name="_Toc16938522"/>
      <w:bookmarkStart w:id="15" w:name="_Toc20823278"/>
      <w:bookmarkStart w:id="16" w:name="_Toc513029206"/>
      <w:r>
        <w:rPr>
          <w:rFonts w:hint="eastAsia" w:ascii="宋体" w:hAnsi="宋体" w:cs="仿宋"/>
          <w:color w:val="auto"/>
          <w:kern w:val="0"/>
          <w:sz w:val="24"/>
        </w:rPr>
        <w:t>3.适用法律</w:t>
      </w:r>
      <w:bookmarkEnd w:id="14"/>
      <w:bookmarkEnd w:id="15"/>
      <w:bookmarkEnd w:id="16"/>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3.1 本次采购及由此产生的合同受中华人民共和国有关的法律法规制约和保护。</w:t>
      </w:r>
    </w:p>
    <w:p>
      <w:pPr>
        <w:keepNext/>
        <w:adjustRightInd w:val="0"/>
        <w:snapToGrid w:val="0"/>
        <w:spacing w:line="460" w:lineRule="exact"/>
        <w:ind w:firstLine="480" w:firstLineChars="200"/>
        <w:rPr>
          <w:rFonts w:ascii="宋体" w:hAnsi="宋体" w:cs="仿宋"/>
          <w:b/>
          <w:bCs/>
          <w:color w:val="auto"/>
          <w:kern w:val="0"/>
          <w:sz w:val="24"/>
        </w:rPr>
      </w:pPr>
      <w:bookmarkStart w:id="17" w:name="_Toc462564067"/>
      <w:bookmarkStart w:id="18" w:name="_Toc513029207"/>
      <w:bookmarkStart w:id="19" w:name="_Toc16938523"/>
      <w:bookmarkStart w:id="20" w:name="_Toc20823279"/>
      <w:r>
        <w:rPr>
          <w:rFonts w:hint="eastAsia" w:ascii="宋体" w:hAnsi="宋体" w:cs="仿宋"/>
          <w:color w:val="auto"/>
          <w:kern w:val="0"/>
          <w:sz w:val="24"/>
        </w:rPr>
        <w:t>4.投标费用</w:t>
      </w:r>
      <w:bookmarkEnd w:id="17"/>
      <w:bookmarkEnd w:id="18"/>
      <w:bookmarkEnd w:id="19"/>
      <w:bookmarkEnd w:id="20"/>
    </w:p>
    <w:p>
      <w:pPr>
        <w:adjustRightInd w:val="0"/>
        <w:snapToGrid w:val="0"/>
        <w:spacing w:line="460" w:lineRule="exact"/>
        <w:ind w:firstLine="480" w:firstLineChars="200"/>
        <w:rPr>
          <w:rFonts w:ascii="宋体" w:hAnsi="宋体" w:cs="仿宋"/>
          <w:color w:val="auto"/>
          <w:sz w:val="24"/>
        </w:rPr>
      </w:pPr>
      <w:r>
        <w:rPr>
          <w:rFonts w:hint="eastAsia" w:ascii="宋体" w:hAnsi="宋体" w:cs="仿宋"/>
          <w:bCs/>
          <w:color w:val="auto"/>
          <w:sz w:val="24"/>
        </w:rPr>
        <w:t>4.1</w:t>
      </w:r>
      <w:r>
        <w:rPr>
          <w:rFonts w:hint="eastAsia" w:ascii="宋体" w:hAnsi="宋体" w:cs="仿宋"/>
          <w:color w:val="auto"/>
          <w:sz w:val="24"/>
        </w:rPr>
        <w:t xml:space="preserve"> 供应商应自行承担所有与参加投标有关的费用，无论投标过程中的做法和结果如何，采购人在任何情况下均无义务和责任承担这些费用。</w:t>
      </w:r>
    </w:p>
    <w:p>
      <w:pPr>
        <w:keepNext/>
        <w:adjustRightInd w:val="0"/>
        <w:snapToGrid w:val="0"/>
        <w:spacing w:line="460" w:lineRule="exact"/>
        <w:ind w:firstLine="480" w:firstLineChars="200"/>
        <w:rPr>
          <w:rFonts w:ascii="宋体" w:hAnsi="宋体" w:cs="仿宋"/>
          <w:b/>
          <w:bCs/>
          <w:color w:val="auto"/>
          <w:kern w:val="0"/>
          <w:sz w:val="24"/>
        </w:rPr>
      </w:pPr>
      <w:r>
        <w:rPr>
          <w:rFonts w:hint="eastAsia" w:ascii="宋体" w:hAnsi="宋体" w:cs="仿宋"/>
          <w:color w:val="auto"/>
          <w:kern w:val="0"/>
          <w:sz w:val="24"/>
        </w:rPr>
        <w:t>5.招标文件的约束力</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bCs/>
          <w:color w:val="auto"/>
          <w:sz w:val="24"/>
        </w:rPr>
        <w:t>5.1</w:t>
      </w:r>
      <w:r>
        <w:rPr>
          <w:rFonts w:hint="eastAsia" w:ascii="宋体" w:hAnsi="宋体" w:cs="仿宋"/>
          <w:color w:val="auto"/>
          <w:sz w:val="24"/>
        </w:rPr>
        <w:t xml:space="preserve"> 供应商一旦参加本项目采购活动，即被认为接受了本招标文件的规定和约束。</w:t>
      </w:r>
    </w:p>
    <w:p>
      <w:pPr>
        <w:keepNext/>
        <w:adjustRightInd w:val="0"/>
        <w:snapToGrid w:val="0"/>
        <w:spacing w:line="460" w:lineRule="exact"/>
        <w:ind w:firstLine="480" w:firstLineChars="200"/>
        <w:rPr>
          <w:rFonts w:ascii="宋体" w:hAnsi="宋体" w:cs="仿宋"/>
          <w:color w:val="auto"/>
          <w:kern w:val="0"/>
          <w:sz w:val="24"/>
        </w:rPr>
      </w:pPr>
      <w:r>
        <w:rPr>
          <w:rFonts w:hint="eastAsia" w:ascii="宋体" w:hAnsi="宋体" w:cs="仿宋"/>
          <w:color w:val="auto"/>
          <w:kern w:val="0"/>
          <w:sz w:val="24"/>
        </w:rPr>
        <w:t>6.招标文件的解释</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bCs/>
          <w:color w:val="auto"/>
          <w:sz w:val="24"/>
        </w:rPr>
        <w:t>6.1</w:t>
      </w:r>
      <w:r>
        <w:rPr>
          <w:rFonts w:hint="eastAsia" w:ascii="宋体" w:hAnsi="宋体" w:cs="仿宋"/>
          <w:color w:val="auto"/>
          <w:sz w:val="24"/>
        </w:rPr>
        <w:t>招标文件供应商资格要求、项目需求、商务技术评分标准等由采购人解释。</w:t>
      </w:r>
    </w:p>
    <w:p>
      <w:pPr>
        <w:keepNext/>
        <w:keepLines/>
        <w:adjustRightInd w:val="0"/>
        <w:snapToGrid w:val="0"/>
        <w:spacing w:line="460" w:lineRule="exact"/>
        <w:ind w:firstLine="482" w:firstLineChars="200"/>
        <w:outlineLvl w:val="1"/>
        <w:rPr>
          <w:rFonts w:ascii="宋体" w:hAnsi="宋体" w:cs="仿宋"/>
          <w:b/>
          <w:bCs/>
          <w:color w:val="auto"/>
          <w:kern w:val="0"/>
          <w:sz w:val="24"/>
        </w:rPr>
      </w:pPr>
      <w:bookmarkStart w:id="21" w:name="_Toc120614215"/>
      <w:bookmarkStart w:id="22" w:name="_Toc20823281"/>
      <w:bookmarkStart w:id="23" w:name="_Toc513029209"/>
      <w:bookmarkStart w:id="24" w:name="_Toc16938525"/>
      <w:r>
        <w:rPr>
          <w:rFonts w:hint="eastAsia" w:ascii="宋体" w:hAnsi="宋体" w:cs="仿宋"/>
          <w:b/>
          <w:bCs/>
          <w:color w:val="auto"/>
          <w:kern w:val="0"/>
          <w:sz w:val="24"/>
        </w:rPr>
        <w:t>二、招标文件</w:t>
      </w:r>
      <w:bookmarkEnd w:id="21"/>
      <w:bookmarkEnd w:id="22"/>
      <w:bookmarkEnd w:id="23"/>
      <w:bookmarkEnd w:id="24"/>
    </w:p>
    <w:p>
      <w:pPr>
        <w:keepNext/>
        <w:adjustRightInd w:val="0"/>
        <w:snapToGrid w:val="0"/>
        <w:spacing w:line="460" w:lineRule="exact"/>
        <w:ind w:firstLine="480" w:firstLineChars="200"/>
        <w:rPr>
          <w:rFonts w:ascii="宋体" w:hAnsi="宋体" w:cs="仿宋"/>
          <w:b/>
          <w:bCs/>
          <w:color w:val="auto"/>
          <w:kern w:val="0"/>
          <w:sz w:val="24"/>
        </w:rPr>
      </w:pPr>
      <w:bookmarkStart w:id="25" w:name="_Toc16938526"/>
      <w:bookmarkStart w:id="26" w:name="_Toc513029210"/>
      <w:bookmarkStart w:id="27" w:name="_Toc20823282"/>
      <w:r>
        <w:rPr>
          <w:rFonts w:hint="eastAsia" w:ascii="宋体" w:hAnsi="宋体" w:cs="仿宋"/>
          <w:color w:val="auto"/>
          <w:kern w:val="0"/>
          <w:sz w:val="24"/>
        </w:rPr>
        <w:t>1.招标文件构成</w:t>
      </w:r>
      <w:bookmarkEnd w:id="25"/>
      <w:bookmarkEnd w:id="26"/>
      <w:bookmarkEnd w:id="27"/>
    </w:p>
    <w:p>
      <w:pPr>
        <w:adjustRightInd w:val="0"/>
        <w:snapToGrid w:val="0"/>
        <w:spacing w:line="460" w:lineRule="exact"/>
        <w:ind w:firstLine="480" w:firstLineChars="200"/>
        <w:rPr>
          <w:rFonts w:ascii="宋体" w:hAnsi="宋体" w:cs="仿宋"/>
          <w:color w:val="auto"/>
          <w:sz w:val="24"/>
        </w:rPr>
      </w:pPr>
      <w:r>
        <w:rPr>
          <w:rFonts w:hint="eastAsia" w:ascii="宋体" w:hAnsi="宋体" w:cs="仿宋"/>
          <w:bCs/>
          <w:color w:val="auto"/>
          <w:sz w:val="24"/>
        </w:rPr>
        <w:t>1.1</w:t>
      </w:r>
      <w:r>
        <w:rPr>
          <w:rFonts w:hint="eastAsia" w:ascii="宋体" w:hAnsi="宋体" w:cs="仿宋"/>
          <w:color w:val="auto"/>
          <w:sz w:val="24"/>
        </w:rPr>
        <w:t xml:space="preserve"> 招标文件由以下部分组成：</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（1）招标公告</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（2）投标须知</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（3）项目需求</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（4）评审方法和评审标准</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（5）响应文件组成</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（6）附件</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请仔细检查招标文件是否齐全，如有缺漏请立即与采购人联系解决。</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bCs/>
          <w:color w:val="auto"/>
          <w:sz w:val="24"/>
        </w:rPr>
        <w:t>1.2</w:t>
      </w:r>
      <w:r>
        <w:rPr>
          <w:rFonts w:hint="eastAsia" w:ascii="宋体" w:hAnsi="宋体" w:cs="仿宋"/>
          <w:color w:val="auto"/>
          <w:sz w:val="24"/>
        </w:rPr>
        <w:t xml:space="preserve"> 供应商应认真阅读招标文件中所有的事项、格式、条款和规范等要求。按招标文件要求和规定编制响应文件，并保证所提供的全部资料的真实性，以使其响应文件对招标文件作出实质性响应，否则其风险由供应商自行承担。</w:t>
      </w:r>
    </w:p>
    <w:p>
      <w:pPr>
        <w:keepNext/>
        <w:adjustRightInd w:val="0"/>
        <w:snapToGrid w:val="0"/>
        <w:spacing w:line="460" w:lineRule="exact"/>
        <w:ind w:firstLine="480" w:firstLineChars="200"/>
        <w:rPr>
          <w:rFonts w:ascii="宋体" w:hAnsi="宋体" w:cs="仿宋"/>
          <w:b/>
          <w:bCs/>
          <w:color w:val="auto"/>
          <w:kern w:val="0"/>
          <w:sz w:val="24"/>
        </w:rPr>
      </w:pPr>
      <w:bookmarkStart w:id="28" w:name="_Toc462564070"/>
      <w:bookmarkStart w:id="29" w:name="_Toc513029211"/>
      <w:bookmarkStart w:id="30" w:name="_Toc16938527"/>
      <w:bookmarkStart w:id="31" w:name="_Toc20823283"/>
      <w:r>
        <w:rPr>
          <w:rFonts w:hint="eastAsia" w:ascii="宋体" w:hAnsi="宋体" w:cs="仿宋"/>
          <w:color w:val="auto"/>
          <w:kern w:val="0"/>
          <w:sz w:val="24"/>
        </w:rPr>
        <w:t>2.招标文件的澄清</w:t>
      </w:r>
      <w:bookmarkEnd w:id="28"/>
      <w:bookmarkEnd w:id="29"/>
      <w:bookmarkEnd w:id="30"/>
      <w:bookmarkEnd w:id="31"/>
    </w:p>
    <w:p>
      <w:pPr>
        <w:adjustRightInd w:val="0"/>
        <w:snapToGrid w:val="0"/>
        <w:spacing w:line="460" w:lineRule="exact"/>
        <w:ind w:firstLine="480" w:firstLineChars="200"/>
        <w:rPr>
          <w:rFonts w:ascii="宋体" w:hAnsi="宋体" w:cs="仿宋"/>
          <w:color w:val="auto"/>
          <w:sz w:val="24"/>
        </w:rPr>
      </w:pPr>
      <w:r>
        <w:rPr>
          <w:rFonts w:hint="eastAsia" w:ascii="宋体" w:hAnsi="宋体" w:cs="仿宋"/>
          <w:bCs/>
          <w:color w:val="auto"/>
          <w:sz w:val="24"/>
        </w:rPr>
        <w:t>2.1</w:t>
      </w:r>
      <w:r>
        <w:rPr>
          <w:rFonts w:hint="eastAsia" w:ascii="宋体" w:hAnsi="宋体" w:cs="仿宋"/>
          <w:color w:val="auto"/>
          <w:sz w:val="24"/>
        </w:rPr>
        <w:t xml:space="preserve"> 任何要求对招标文件进行澄清的供应商，应在提交首次响应文件截止时间十五日前按招标公告中的通讯地址，以书面形式通知采购人。采购人有权对发出的招标文件进行必要的澄清或修改。</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2.2采购人视情组织答疑会</w:t>
      </w:r>
    </w:p>
    <w:p>
      <w:pPr>
        <w:keepNext/>
        <w:adjustRightInd w:val="0"/>
        <w:snapToGrid w:val="0"/>
        <w:spacing w:line="460" w:lineRule="exact"/>
        <w:ind w:firstLine="480" w:firstLineChars="200"/>
        <w:rPr>
          <w:rFonts w:ascii="宋体" w:hAnsi="宋体" w:cs="仿宋"/>
          <w:b/>
          <w:bCs/>
          <w:color w:val="auto"/>
          <w:kern w:val="0"/>
          <w:sz w:val="24"/>
        </w:rPr>
      </w:pPr>
      <w:bookmarkStart w:id="32" w:name="_Toc16938528"/>
      <w:bookmarkStart w:id="33" w:name="_Toc20823284"/>
      <w:bookmarkStart w:id="34" w:name="_Toc462564071"/>
      <w:bookmarkStart w:id="35" w:name="_Toc513029212"/>
      <w:r>
        <w:rPr>
          <w:rFonts w:hint="eastAsia" w:ascii="宋体" w:hAnsi="宋体" w:cs="仿宋"/>
          <w:color w:val="auto"/>
          <w:kern w:val="0"/>
          <w:sz w:val="24"/>
        </w:rPr>
        <w:t>3.招标文件的修改</w:t>
      </w:r>
      <w:bookmarkEnd w:id="32"/>
      <w:bookmarkEnd w:id="33"/>
      <w:bookmarkEnd w:id="34"/>
      <w:bookmarkEnd w:id="35"/>
    </w:p>
    <w:p>
      <w:pPr>
        <w:adjustRightInd w:val="0"/>
        <w:snapToGrid w:val="0"/>
        <w:spacing w:line="460" w:lineRule="exact"/>
        <w:ind w:firstLine="480" w:firstLineChars="200"/>
        <w:rPr>
          <w:rFonts w:ascii="宋体" w:hAnsi="宋体" w:cs="仿宋"/>
          <w:color w:val="auto"/>
          <w:sz w:val="24"/>
        </w:rPr>
      </w:pPr>
      <w:r>
        <w:rPr>
          <w:rFonts w:hint="eastAsia" w:ascii="宋体" w:hAnsi="宋体" w:cs="仿宋"/>
          <w:bCs/>
          <w:color w:val="auto"/>
          <w:sz w:val="24"/>
        </w:rPr>
        <w:t>3.1</w:t>
      </w:r>
      <w:r>
        <w:rPr>
          <w:rFonts w:hint="eastAsia" w:ascii="宋体" w:hAnsi="宋体" w:cs="仿宋"/>
          <w:color w:val="auto"/>
          <w:sz w:val="24"/>
        </w:rPr>
        <w:t xml:space="preserve"> 在响应文件提交截止时间前，采购人可以对招标文件进行修改。</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bCs/>
          <w:color w:val="auto"/>
          <w:sz w:val="24"/>
        </w:rPr>
        <w:t xml:space="preserve">3.2 </w:t>
      </w:r>
      <w:r>
        <w:rPr>
          <w:rFonts w:hint="eastAsia" w:ascii="宋体" w:hAnsi="宋体" w:cs="仿宋"/>
          <w:color w:val="auto"/>
          <w:sz w:val="24"/>
        </w:rPr>
        <w:t>采购人有权按照法定的要求推迟响应文件提交截止日期和投标日期。</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bCs/>
          <w:color w:val="auto"/>
          <w:sz w:val="24"/>
        </w:rPr>
        <w:t xml:space="preserve">3.3 </w:t>
      </w:r>
      <w:r>
        <w:rPr>
          <w:rFonts w:hint="eastAsia" w:ascii="宋体" w:hAnsi="宋体" w:cs="仿宋"/>
          <w:color w:val="auto"/>
          <w:sz w:val="24"/>
        </w:rPr>
        <w:t>招标文件的修改将在南通市农业农村局网公布，补充文件将作为招标文件的组成部分，并对供应商具有约束力。</w:t>
      </w:r>
    </w:p>
    <w:p>
      <w:pPr>
        <w:keepNext/>
        <w:keepLines/>
        <w:adjustRightInd w:val="0"/>
        <w:snapToGrid w:val="0"/>
        <w:spacing w:line="460" w:lineRule="exact"/>
        <w:ind w:firstLine="482" w:firstLineChars="200"/>
        <w:outlineLvl w:val="1"/>
        <w:rPr>
          <w:rFonts w:ascii="宋体" w:hAnsi="宋体" w:cs="仿宋"/>
          <w:b/>
          <w:bCs/>
          <w:color w:val="auto"/>
          <w:kern w:val="0"/>
          <w:sz w:val="24"/>
        </w:rPr>
      </w:pPr>
      <w:bookmarkStart w:id="36" w:name="_Toc20823285"/>
      <w:bookmarkStart w:id="37" w:name="_Toc462564072"/>
      <w:bookmarkStart w:id="38" w:name="_Toc120614216"/>
      <w:bookmarkStart w:id="39" w:name="_Toc16938529"/>
      <w:bookmarkStart w:id="40" w:name="_Toc513029213"/>
      <w:r>
        <w:rPr>
          <w:rFonts w:hint="eastAsia" w:ascii="宋体" w:hAnsi="宋体" w:cs="仿宋"/>
          <w:b/>
          <w:bCs/>
          <w:color w:val="auto"/>
          <w:kern w:val="0"/>
          <w:sz w:val="24"/>
        </w:rPr>
        <w:t>三、响应文件的编制</w:t>
      </w:r>
      <w:bookmarkEnd w:id="36"/>
      <w:bookmarkEnd w:id="37"/>
      <w:bookmarkEnd w:id="38"/>
      <w:bookmarkEnd w:id="39"/>
      <w:bookmarkEnd w:id="40"/>
    </w:p>
    <w:p>
      <w:pPr>
        <w:keepNext/>
        <w:adjustRightInd w:val="0"/>
        <w:snapToGrid w:val="0"/>
        <w:spacing w:line="460" w:lineRule="exact"/>
        <w:ind w:firstLine="480" w:firstLineChars="200"/>
        <w:rPr>
          <w:rFonts w:ascii="宋体" w:hAnsi="宋体" w:cs="仿宋"/>
          <w:bCs/>
          <w:color w:val="auto"/>
          <w:kern w:val="0"/>
          <w:sz w:val="24"/>
        </w:rPr>
      </w:pPr>
      <w:bookmarkStart w:id="41" w:name="_Toc462564073"/>
      <w:bookmarkStart w:id="42" w:name="_Toc20823286"/>
      <w:bookmarkStart w:id="43" w:name="_Toc16938530"/>
      <w:bookmarkStart w:id="44" w:name="_Toc513029214"/>
      <w:r>
        <w:rPr>
          <w:rFonts w:hint="eastAsia" w:ascii="宋体" w:hAnsi="宋体" w:cs="仿宋"/>
          <w:color w:val="auto"/>
          <w:kern w:val="0"/>
          <w:sz w:val="24"/>
        </w:rPr>
        <w:t>1.响应文件的语言及度量衡单位</w:t>
      </w:r>
      <w:bookmarkEnd w:id="41"/>
      <w:bookmarkEnd w:id="42"/>
      <w:bookmarkEnd w:id="43"/>
      <w:bookmarkEnd w:id="44"/>
    </w:p>
    <w:p>
      <w:pPr>
        <w:adjustRightInd w:val="0"/>
        <w:snapToGrid w:val="0"/>
        <w:spacing w:line="460" w:lineRule="exact"/>
        <w:ind w:firstLine="480" w:firstLineChars="200"/>
        <w:rPr>
          <w:rFonts w:ascii="宋体" w:hAnsi="宋体" w:cs="仿宋"/>
          <w:color w:val="auto"/>
          <w:sz w:val="24"/>
        </w:rPr>
      </w:pPr>
      <w:r>
        <w:rPr>
          <w:rFonts w:hint="eastAsia" w:ascii="宋体" w:hAnsi="宋体" w:cs="仿宋"/>
          <w:bCs/>
          <w:color w:val="auto"/>
          <w:sz w:val="24"/>
        </w:rPr>
        <w:t>1.1</w:t>
      </w:r>
      <w:r>
        <w:rPr>
          <w:rFonts w:hint="eastAsia" w:ascii="宋体" w:hAnsi="宋体" w:cs="仿宋"/>
          <w:color w:val="auto"/>
          <w:sz w:val="24"/>
        </w:rPr>
        <w:t>供应商提交的响应文件以及供应商与采购人就有关的所有来往通知、函件和文件均应使用</w:t>
      </w:r>
      <w:r>
        <w:rPr>
          <w:rFonts w:hint="eastAsia" w:ascii="宋体" w:hAnsi="宋体" w:cs="仿宋"/>
          <w:bCs/>
          <w:color w:val="auto"/>
          <w:sz w:val="24"/>
        </w:rPr>
        <w:t>简体中文</w:t>
      </w:r>
      <w:r>
        <w:rPr>
          <w:rFonts w:hint="eastAsia" w:ascii="宋体" w:hAnsi="宋体" w:cs="仿宋"/>
          <w:color w:val="auto"/>
          <w:sz w:val="24"/>
        </w:rPr>
        <w:t>。</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bCs/>
          <w:color w:val="auto"/>
          <w:sz w:val="24"/>
        </w:rPr>
        <w:t>1.2</w:t>
      </w:r>
      <w:r>
        <w:rPr>
          <w:rFonts w:hint="eastAsia" w:ascii="宋体" w:hAnsi="宋体" w:cs="仿宋"/>
          <w:color w:val="auto"/>
          <w:sz w:val="24"/>
        </w:rPr>
        <w:t xml:space="preserve"> 除技术性能另有规定外，响应文件所使用的度量衡单位，均须采用国家法定计量单位。</w:t>
      </w:r>
    </w:p>
    <w:p>
      <w:pPr>
        <w:keepNext/>
        <w:adjustRightInd w:val="0"/>
        <w:snapToGrid w:val="0"/>
        <w:spacing w:line="460" w:lineRule="exact"/>
        <w:ind w:firstLine="480" w:firstLineChars="200"/>
        <w:rPr>
          <w:rFonts w:ascii="宋体" w:hAnsi="宋体" w:cs="仿宋"/>
          <w:b/>
          <w:bCs/>
          <w:color w:val="auto"/>
          <w:kern w:val="0"/>
          <w:sz w:val="24"/>
        </w:rPr>
      </w:pPr>
      <w:bookmarkStart w:id="45" w:name="_Toc513029215"/>
      <w:bookmarkStart w:id="46" w:name="_Toc20823287"/>
      <w:bookmarkStart w:id="47" w:name="_Toc16938531"/>
      <w:bookmarkStart w:id="48" w:name="_Toc462564074"/>
      <w:r>
        <w:rPr>
          <w:rFonts w:hint="eastAsia" w:ascii="宋体" w:hAnsi="宋体" w:cs="仿宋"/>
          <w:color w:val="auto"/>
          <w:kern w:val="0"/>
          <w:sz w:val="24"/>
        </w:rPr>
        <w:t>2.响应文件构成</w:t>
      </w:r>
      <w:bookmarkEnd w:id="45"/>
      <w:bookmarkEnd w:id="46"/>
      <w:bookmarkEnd w:id="47"/>
      <w:bookmarkEnd w:id="48"/>
    </w:p>
    <w:p>
      <w:pPr>
        <w:adjustRightInd w:val="0"/>
        <w:snapToGrid w:val="0"/>
        <w:spacing w:line="460" w:lineRule="exact"/>
        <w:ind w:firstLine="480" w:firstLineChars="200"/>
        <w:rPr>
          <w:rFonts w:ascii="宋体" w:hAnsi="宋体" w:cs="仿宋"/>
          <w:color w:val="auto"/>
          <w:sz w:val="24"/>
        </w:rPr>
      </w:pPr>
      <w:r>
        <w:rPr>
          <w:rFonts w:hint="eastAsia" w:ascii="宋体" w:hAnsi="宋体" w:cs="仿宋"/>
          <w:bCs/>
          <w:color w:val="auto"/>
          <w:sz w:val="24"/>
        </w:rPr>
        <w:t>2.1</w:t>
      </w:r>
      <w:r>
        <w:rPr>
          <w:rFonts w:hint="eastAsia" w:ascii="宋体" w:hAnsi="宋体" w:cs="仿宋"/>
          <w:color w:val="auto"/>
          <w:sz w:val="24"/>
        </w:rPr>
        <w:t xml:space="preserve"> 供应商编写的响应文件应包括资格审查证明材料文件、商务技术标文件、价格标文件。供应商按“第五部分 响应文件组成”要求编写响应文件。</w:t>
      </w:r>
    </w:p>
    <w:p>
      <w:pPr>
        <w:keepNext/>
        <w:adjustRightInd w:val="0"/>
        <w:snapToGrid w:val="0"/>
        <w:spacing w:line="460" w:lineRule="exact"/>
        <w:ind w:firstLine="480" w:firstLineChars="200"/>
        <w:rPr>
          <w:rFonts w:ascii="宋体" w:hAnsi="宋体" w:cs="仿宋"/>
          <w:b/>
          <w:bCs/>
          <w:color w:val="auto"/>
          <w:kern w:val="0"/>
          <w:sz w:val="24"/>
        </w:rPr>
      </w:pPr>
      <w:bookmarkStart w:id="49" w:name="_Hlt26954838"/>
      <w:bookmarkEnd w:id="49"/>
      <w:bookmarkStart w:id="50" w:name="_Hlt26670360"/>
      <w:bookmarkEnd w:id="50"/>
      <w:bookmarkStart w:id="51" w:name="_Hlt26668975"/>
      <w:bookmarkEnd w:id="51"/>
      <w:bookmarkStart w:id="52" w:name="_Toc49090511"/>
      <w:bookmarkStart w:id="53" w:name="_Toc14577360"/>
      <w:r>
        <w:rPr>
          <w:rFonts w:hint="eastAsia" w:ascii="宋体" w:hAnsi="宋体" w:cs="仿宋"/>
          <w:color w:val="auto"/>
          <w:kern w:val="0"/>
          <w:sz w:val="24"/>
        </w:rPr>
        <w:t>3.</w:t>
      </w:r>
      <w:bookmarkEnd w:id="52"/>
      <w:bookmarkEnd w:id="53"/>
      <w:r>
        <w:rPr>
          <w:rFonts w:hint="eastAsia" w:ascii="宋体" w:hAnsi="宋体" w:cs="仿宋"/>
          <w:color w:val="auto"/>
          <w:kern w:val="0"/>
          <w:sz w:val="24"/>
        </w:rPr>
        <w:t>投标响应有效期</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3.1投标响应有效期为规定的响应文件</w:t>
      </w:r>
      <w:r>
        <w:rPr>
          <w:rFonts w:hint="eastAsia" w:ascii="宋体" w:hAnsi="宋体" w:cs="仿宋"/>
          <w:color w:val="auto"/>
          <w:sz w:val="24"/>
        </w:rPr>
        <w:t>提交</w:t>
      </w:r>
      <w:r>
        <w:rPr>
          <w:rFonts w:hint="eastAsia" w:ascii="宋体" w:hAnsi="宋体" w:cs="仿宋"/>
          <w:bCs/>
          <w:color w:val="auto"/>
          <w:sz w:val="24"/>
        </w:rPr>
        <w:t>截止时间后</w:t>
      </w:r>
      <w:r>
        <w:rPr>
          <w:rFonts w:hint="eastAsia" w:ascii="宋体" w:hAnsi="宋体" w:cs="仿宋"/>
          <w:b/>
          <w:color w:val="auto"/>
          <w:sz w:val="24"/>
          <w:u w:val="single"/>
        </w:rPr>
        <w:t>六十（60）天</w:t>
      </w:r>
      <w:r>
        <w:rPr>
          <w:rFonts w:hint="eastAsia" w:ascii="宋体" w:hAnsi="宋体" w:cs="仿宋"/>
          <w:bCs/>
          <w:color w:val="auto"/>
          <w:sz w:val="24"/>
        </w:rPr>
        <w:t>。投标响应有效期比规定短的将被视为非实质性响应而予以拒绝。</w:t>
      </w:r>
    </w:p>
    <w:p>
      <w:pPr>
        <w:keepNext/>
        <w:adjustRightInd w:val="0"/>
        <w:snapToGrid w:val="0"/>
        <w:spacing w:line="460" w:lineRule="exact"/>
        <w:ind w:firstLine="480" w:firstLineChars="200"/>
        <w:rPr>
          <w:rFonts w:ascii="宋体" w:hAnsi="宋体" w:cs="仿宋"/>
          <w:b/>
          <w:bCs/>
          <w:color w:val="auto"/>
          <w:kern w:val="0"/>
          <w:sz w:val="24"/>
        </w:rPr>
      </w:pPr>
      <w:r>
        <w:rPr>
          <w:rFonts w:hint="eastAsia" w:ascii="宋体" w:hAnsi="宋体" w:cs="仿宋"/>
          <w:color w:val="auto"/>
          <w:kern w:val="0"/>
          <w:sz w:val="24"/>
        </w:rPr>
        <w:t>4. 投标响应有效期的延长</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4.1在特殊情况下，采购人于原投标响应有效期满之前，可向投标供应商提出延长投标响应有效期的要求。这种要求与答复均应采用书面形式。供应商可以拒绝采购人的这一要求而放弃投标响应，同意延长投标响应有效期的供应商既不能要求也不允许修改其响应文件。</w:t>
      </w:r>
      <w:r>
        <w:rPr>
          <w:rFonts w:hint="eastAsia" w:ascii="宋体" w:hAnsi="宋体" w:cs="仿宋"/>
          <w:color w:val="auto"/>
          <w:sz w:val="24"/>
        </w:rPr>
        <w:t>受投标响应有效期约束的所有权利与义务均延长至新的有效期</w:t>
      </w:r>
      <w:r>
        <w:rPr>
          <w:rFonts w:hint="eastAsia" w:ascii="宋体" w:hAnsi="宋体" w:cs="仿宋"/>
          <w:bCs/>
          <w:color w:val="auto"/>
          <w:sz w:val="24"/>
        </w:rPr>
        <w:t>。</w:t>
      </w:r>
    </w:p>
    <w:p>
      <w:pPr>
        <w:keepNext/>
        <w:keepLines/>
        <w:adjustRightInd w:val="0"/>
        <w:snapToGrid w:val="0"/>
        <w:spacing w:line="460" w:lineRule="exact"/>
        <w:ind w:firstLine="482" w:firstLineChars="200"/>
        <w:outlineLvl w:val="1"/>
        <w:rPr>
          <w:rFonts w:ascii="宋体" w:hAnsi="宋体" w:cs="仿宋"/>
          <w:b/>
          <w:bCs/>
          <w:color w:val="auto"/>
          <w:kern w:val="0"/>
          <w:sz w:val="24"/>
        </w:rPr>
      </w:pPr>
      <w:bookmarkStart w:id="54" w:name="_Hlt26954852"/>
      <w:bookmarkEnd w:id="54"/>
      <w:bookmarkStart w:id="55" w:name="_Hlt26954739"/>
      <w:bookmarkEnd w:id="55"/>
      <w:bookmarkStart w:id="56" w:name="_Toc20823296"/>
      <w:bookmarkStart w:id="57" w:name="_Toc513029224"/>
      <w:bookmarkStart w:id="58" w:name="_Toc120614217"/>
      <w:bookmarkStart w:id="59" w:name="_Toc16938540"/>
      <w:r>
        <w:rPr>
          <w:rFonts w:hint="eastAsia" w:ascii="宋体" w:hAnsi="宋体" w:cs="仿宋"/>
          <w:b/>
          <w:bCs/>
          <w:color w:val="auto"/>
          <w:kern w:val="0"/>
          <w:sz w:val="24"/>
        </w:rPr>
        <w:t>四、响应文件的提交</w:t>
      </w:r>
      <w:bookmarkEnd w:id="56"/>
      <w:bookmarkEnd w:id="57"/>
      <w:bookmarkEnd w:id="58"/>
      <w:bookmarkEnd w:id="59"/>
    </w:p>
    <w:p>
      <w:pPr>
        <w:keepNext/>
        <w:adjustRightInd w:val="0"/>
        <w:snapToGrid w:val="0"/>
        <w:spacing w:line="460" w:lineRule="exact"/>
        <w:ind w:firstLine="480" w:firstLineChars="200"/>
        <w:rPr>
          <w:rFonts w:ascii="宋体" w:hAnsi="宋体" w:cs="仿宋"/>
          <w:b/>
          <w:bCs/>
          <w:color w:val="auto"/>
          <w:kern w:val="0"/>
          <w:sz w:val="24"/>
        </w:rPr>
      </w:pPr>
      <w:bookmarkStart w:id="60" w:name="_Toc513029225"/>
      <w:bookmarkStart w:id="61" w:name="_Toc16938541"/>
      <w:bookmarkStart w:id="62" w:name="_Toc20823297"/>
      <w:bookmarkStart w:id="63" w:name="_Toc462564084"/>
      <w:bookmarkStart w:id="64" w:name="_Toc20823298"/>
      <w:bookmarkStart w:id="65" w:name="_Toc513029226"/>
      <w:bookmarkStart w:id="66" w:name="_Toc16938542"/>
      <w:r>
        <w:rPr>
          <w:rFonts w:hint="eastAsia" w:ascii="宋体" w:hAnsi="宋体" w:cs="仿宋"/>
          <w:color w:val="auto"/>
          <w:kern w:val="0"/>
          <w:sz w:val="24"/>
        </w:rPr>
        <w:t>1.响应文件</w:t>
      </w:r>
      <w:bookmarkEnd w:id="60"/>
      <w:bookmarkEnd w:id="61"/>
      <w:bookmarkEnd w:id="62"/>
      <w:bookmarkEnd w:id="63"/>
      <w:r>
        <w:rPr>
          <w:rFonts w:hint="eastAsia" w:ascii="宋体" w:hAnsi="宋体" w:cs="仿宋"/>
          <w:color w:val="auto"/>
          <w:kern w:val="0"/>
          <w:sz w:val="24"/>
        </w:rPr>
        <w:t>的提交</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1.1</w:t>
      </w:r>
      <w:r>
        <w:rPr>
          <w:rFonts w:hint="eastAsia" w:ascii="宋体" w:hAnsi="宋体" w:cs="仿宋"/>
          <w:b/>
          <w:color w:val="auto"/>
          <w:sz w:val="24"/>
        </w:rPr>
        <w:t>响应文件三部分内容（资格审查文件、商务技术文件、价格文件）须分别单独密封，</w:t>
      </w:r>
      <w:r>
        <w:rPr>
          <w:rFonts w:hint="eastAsia" w:ascii="宋体" w:hAnsi="宋体" w:cs="仿宋"/>
          <w:b/>
          <w:color w:val="auto"/>
          <w:sz w:val="24"/>
          <w:lang w:val="zh-CN"/>
        </w:rPr>
        <w:t>并牢</w:t>
      </w:r>
      <w:r>
        <w:rPr>
          <w:rFonts w:hint="eastAsia" w:ascii="宋体" w:hAnsi="宋体" w:cs="仿宋"/>
          <w:b/>
          <w:color w:val="auto"/>
          <w:sz w:val="24"/>
        </w:rPr>
        <w:t>固装订成册，不得相互混淆。价格文件不得出现于其他响应文件中</w:t>
      </w:r>
      <w:r>
        <w:rPr>
          <w:rFonts w:hint="eastAsia" w:ascii="宋体" w:hAnsi="宋体" w:cs="仿宋"/>
          <w:bCs/>
          <w:color w:val="auto"/>
          <w:sz w:val="24"/>
        </w:rPr>
        <w:t>。</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1.2响应文件每一部分内容均须提供“一正、两副”纸质响应文件，并将正本、副本及图纸类等（如需提供图纸等其它资料的话）合并密封，统一装在一个密封袋或密封箱内（如有A3大小的图纸类，可单独密封）。</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1.3纸质响应文件须</w:t>
      </w:r>
      <w:r>
        <w:rPr>
          <w:rFonts w:hint="eastAsia" w:ascii="宋体" w:hAnsi="宋体" w:cs="仿宋"/>
          <w:bCs/>
          <w:color w:val="auto"/>
          <w:sz w:val="24"/>
          <w:lang w:val="zh-CN"/>
        </w:rPr>
        <w:t>采用A4纸（</w:t>
      </w:r>
      <w:r>
        <w:rPr>
          <w:rFonts w:hint="eastAsia" w:ascii="宋体" w:hAnsi="宋体" w:cs="仿宋"/>
          <w:bCs/>
          <w:color w:val="auto"/>
          <w:sz w:val="24"/>
        </w:rPr>
        <w:t>图纸等除外），正本须打印并由法定代表人或授权人签字并加盖单位印章。副本可复印，但须加盖单位印章。文件内容中不得行间插字、涂改、增删，如修补错漏处，须由响应文件签署人签字并加盖公章。</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1.4响应文件密封后封袋封面应标明响应文件项目名称、供应商名称等关键信息并加盖单位公章。</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1.5递交时间：供应商须在规定的响应文件接收截止时间前送达指定地点。供应商提交投标文件，即视为已响应参加政府采购活动。</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友情提醒：采购人将拒绝接收在响应文件接收截止时间后递交的响应文件。</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2.响应文件截止日期</w:t>
      </w:r>
      <w:bookmarkEnd w:id="64"/>
      <w:bookmarkEnd w:id="65"/>
      <w:bookmarkEnd w:id="66"/>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2.1 供应商提交响应文件的时间不得迟于招标公告中规定的响应文件提交截止时间。</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供应商应充分考虑到交通路况、停车、疫情管控等风险因素，如因供应商自身原因造成的投标响应文件提交不成功由供应商自行承担全部责任。</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color w:val="auto"/>
          <w:sz w:val="24"/>
        </w:rPr>
        <w:t>2.2</w:t>
      </w:r>
      <w:r>
        <w:rPr>
          <w:rFonts w:hint="eastAsia" w:ascii="宋体" w:hAnsi="宋体" w:cs="仿宋"/>
          <w:bCs/>
          <w:color w:val="auto"/>
          <w:sz w:val="24"/>
        </w:rPr>
        <w:t xml:space="preserve"> 采购人可以按照规定，通过修改响应文件酌情延长响应文件提交截止日期，在此情况下，供应商的所有权利和义务以及供应商受制的截止日期均应以延长后新的截止日期为准。</w:t>
      </w:r>
    </w:p>
    <w:p>
      <w:pPr>
        <w:keepNext/>
        <w:adjustRightInd w:val="0"/>
        <w:snapToGrid w:val="0"/>
        <w:spacing w:line="460" w:lineRule="exact"/>
        <w:ind w:firstLine="480" w:firstLineChars="200"/>
        <w:rPr>
          <w:rFonts w:ascii="宋体" w:hAnsi="宋体" w:cs="仿宋"/>
          <w:b/>
          <w:bCs/>
          <w:color w:val="auto"/>
          <w:kern w:val="0"/>
          <w:sz w:val="24"/>
        </w:rPr>
      </w:pPr>
      <w:bookmarkStart w:id="67" w:name="_Toc16938543"/>
      <w:bookmarkStart w:id="68" w:name="_Toc20823299"/>
      <w:bookmarkStart w:id="69" w:name="_Toc513029227"/>
      <w:r>
        <w:rPr>
          <w:rFonts w:hint="eastAsia" w:ascii="宋体" w:hAnsi="宋体" w:cs="仿宋"/>
          <w:color w:val="auto"/>
          <w:kern w:val="0"/>
          <w:sz w:val="24"/>
        </w:rPr>
        <w:t>3.响应文件</w:t>
      </w:r>
      <w:bookmarkEnd w:id="67"/>
      <w:bookmarkEnd w:id="68"/>
      <w:bookmarkEnd w:id="69"/>
      <w:r>
        <w:rPr>
          <w:rFonts w:hint="eastAsia" w:ascii="宋体" w:hAnsi="宋体" w:cs="仿宋"/>
          <w:color w:val="auto"/>
          <w:kern w:val="0"/>
          <w:sz w:val="24"/>
        </w:rPr>
        <w:t>的拒收</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3.1 采购人拒绝接收在其规定的响应文件提交截止时间后提交的任何响应文件。</w:t>
      </w:r>
    </w:p>
    <w:p>
      <w:pPr>
        <w:keepNext/>
        <w:adjustRightInd w:val="0"/>
        <w:snapToGrid w:val="0"/>
        <w:spacing w:line="460" w:lineRule="exact"/>
        <w:ind w:firstLine="480" w:firstLineChars="200"/>
        <w:rPr>
          <w:rFonts w:ascii="宋体" w:hAnsi="宋体" w:cs="仿宋"/>
          <w:b/>
          <w:bCs/>
          <w:color w:val="auto"/>
          <w:kern w:val="0"/>
          <w:sz w:val="24"/>
        </w:rPr>
      </w:pPr>
      <w:bookmarkStart w:id="70" w:name="_Toc513029228"/>
      <w:bookmarkStart w:id="71" w:name="_Toc20823300"/>
      <w:bookmarkStart w:id="72" w:name="_Toc16938544"/>
      <w:r>
        <w:rPr>
          <w:rFonts w:hint="eastAsia" w:ascii="宋体" w:hAnsi="宋体" w:cs="仿宋"/>
          <w:color w:val="auto"/>
          <w:kern w:val="0"/>
          <w:sz w:val="24"/>
        </w:rPr>
        <w:t>4. 响应文件的撤回和修改</w:t>
      </w:r>
      <w:bookmarkEnd w:id="70"/>
      <w:bookmarkEnd w:id="71"/>
      <w:bookmarkEnd w:id="72"/>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4.1 响应文件的撤回</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4.1.1 响应文件的撤回</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供应商可在响应文件提交截止时间前，书面撤回其投标响应文件。</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4.1.2 供应商撤回投标响应文件，则认为其不再参与本项目公开招标活动。</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4.2 响应文件的修改</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在响应文件提交截止时间之后，供应商不得再对其提交的响应文件进行修改。</w:t>
      </w:r>
    </w:p>
    <w:p>
      <w:pPr>
        <w:adjustRightInd w:val="0"/>
        <w:snapToGrid w:val="0"/>
        <w:spacing w:line="460" w:lineRule="exact"/>
        <w:ind w:firstLine="482" w:firstLineChars="200"/>
        <w:outlineLvl w:val="1"/>
        <w:rPr>
          <w:rFonts w:ascii="宋体" w:hAnsi="宋体" w:cs="仿宋"/>
          <w:b/>
          <w:bCs/>
          <w:color w:val="auto"/>
          <w:sz w:val="24"/>
        </w:rPr>
      </w:pPr>
      <w:bookmarkStart w:id="73" w:name="_Toc513029229"/>
      <w:bookmarkStart w:id="74" w:name="_Toc120614218"/>
      <w:bookmarkStart w:id="75" w:name="_Toc20823301"/>
      <w:bookmarkStart w:id="76" w:name="_Toc16938545"/>
      <w:r>
        <w:rPr>
          <w:rFonts w:hint="eastAsia" w:ascii="宋体" w:hAnsi="宋体" w:cs="仿宋"/>
          <w:b/>
          <w:bCs/>
          <w:color w:val="auto"/>
          <w:sz w:val="24"/>
        </w:rPr>
        <w:t>五</w:t>
      </w:r>
      <w:bookmarkEnd w:id="73"/>
      <w:bookmarkEnd w:id="74"/>
      <w:bookmarkEnd w:id="75"/>
      <w:bookmarkEnd w:id="76"/>
      <w:bookmarkStart w:id="77" w:name="_Toc16938546"/>
      <w:bookmarkStart w:id="78" w:name="_Toc513029230"/>
      <w:bookmarkStart w:id="79" w:name="_Toc20823302"/>
      <w:r>
        <w:rPr>
          <w:rFonts w:hint="eastAsia" w:ascii="宋体" w:hAnsi="宋体" w:cs="仿宋"/>
          <w:b/>
          <w:bCs/>
          <w:color w:val="auto"/>
          <w:sz w:val="24"/>
        </w:rPr>
        <w:t>、开标与评审</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1.开标仪式</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1.1采购人将在招标公告中规定的时间和地点组织公开招标开始仪式。供应商应当在招标公告中规定的时间和地点参加公开招标活动。</w:t>
      </w:r>
    </w:p>
    <w:p>
      <w:pPr>
        <w:adjustRightInd w:val="0"/>
        <w:snapToGrid w:val="0"/>
        <w:spacing w:line="460" w:lineRule="exact"/>
        <w:ind w:firstLine="480" w:firstLineChars="200"/>
        <w:rPr>
          <w:rFonts w:ascii="宋体" w:hAnsi="宋体" w:cs="仿宋"/>
          <w:b/>
          <w:color w:val="auto"/>
          <w:sz w:val="24"/>
        </w:rPr>
      </w:pPr>
      <w:r>
        <w:rPr>
          <w:rFonts w:hint="eastAsia" w:ascii="宋体" w:hAnsi="宋体" w:cs="仿宋"/>
          <w:bCs/>
          <w:color w:val="auto"/>
          <w:sz w:val="24"/>
        </w:rPr>
        <w:t>1.2 公开招标活动的文件密封性检查工作</w:t>
      </w:r>
      <w:r>
        <w:rPr>
          <w:rFonts w:hint="eastAsia" w:ascii="宋体" w:hAnsi="宋体" w:cs="仿宋"/>
          <w:color w:val="auto"/>
          <w:sz w:val="24"/>
        </w:rPr>
        <w:t>由采购人组织。</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bCs/>
          <w:color w:val="auto"/>
          <w:sz w:val="24"/>
        </w:rPr>
        <w:t>1.3供应商在投标过程中涉及到的招标文件密封性检查、中标结果确认等工作，按照采购人指引进行。</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2.评标委员会</w:t>
      </w:r>
    </w:p>
    <w:p>
      <w:pPr>
        <w:adjustRightInd w:val="0"/>
        <w:snapToGrid w:val="0"/>
        <w:spacing w:line="460" w:lineRule="exact"/>
        <w:ind w:firstLine="480" w:firstLineChars="200"/>
        <w:rPr>
          <w:rFonts w:ascii="宋体" w:hAnsi="宋体" w:cs="仿宋"/>
          <w:color w:val="auto"/>
          <w:sz w:val="24"/>
        </w:rPr>
      </w:pPr>
      <w:r>
        <w:rPr>
          <w:rFonts w:ascii="宋体" w:hAnsi="宋体" w:cs="仿宋"/>
          <w:bCs/>
          <w:color w:val="auto"/>
          <w:sz w:val="24"/>
        </w:rPr>
        <w:t>2</w:t>
      </w:r>
      <w:r>
        <w:rPr>
          <w:rFonts w:hint="eastAsia" w:ascii="宋体" w:hAnsi="宋体" w:cs="仿宋"/>
          <w:bCs/>
          <w:color w:val="auto"/>
          <w:sz w:val="24"/>
        </w:rPr>
        <w:t>.1</w:t>
      </w:r>
      <w:r>
        <w:rPr>
          <w:rFonts w:hint="eastAsia" w:ascii="宋体" w:hAnsi="宋体" w:cs="仿宋"/>
          <w:color w:val="auto"/>
          <w:sz w:val="24"/>
        </w:rPr>
        <w:t>开标后，采购人将立即组织评标委员会（以下简称评委会）进行评标。</w:t>
      </w:r>
    </w:p>
    <w:p>
      <w:pPr>
        <w:adjustRightInd w:val="0"/>
        <w:snapToGrid w:val="0"/>
        <w:spacing w:line="460" w:lineRule="exact"/>
        <w:ind w:firstLine="480" w:firstLineChars="200"/>
        <w:rPr>
          <w:rFonts w:ascii="宋体" w:hAnsi="宋体" w:cs="仿宋"/>
          <w:color w:val="auto"/>
          <w:sz w:val="24"/>
        </w:rPr>
      </w:pPr>
      <w:r>
        <w:rPr>
          <w:rFonts w:ascii="宋体" w:hAnsi="宋体" w:cs="仿宋"/>
          <w:bCs/>
          <w:color w:val="auto"/>
          <w:sz w:val="24"/>
        </w:rPr>
        <w:t>2</w:t>
      </w:r>
      <w:r>
        <w:rPr>
          <w:rFonts w:hint="eastAsia" w:ascii="宋体" w:hAnsi="宋体" w:cs="仿宋"/>
          <w:bCs/>
          <w:color w:val="auto"/>
          <w:sz w:val="24"/>
        </w:rPr>
        <w:t>.</w:t>
      </w:r>
      <w:r>
        <w:rPr>
          <w:rFonts w:ascii="宋体" w:hAnsi="宋体" w:cs="仿宋"/>
          <w:bCs/>
          <w:color w:val="auto"/>
          <w:sz w:val="24"/>
        </w:rPr>
        <w:t>2</w:t>
      </w:r>
      <w:r>
        <w:rPr>
          <w:rFonts w:hint="eastAsia" w:ascii="宋体" w:hAnsi="宋体" w:cs="仿宋"/>
          <w:color w:val="auto"/>
          <w:sz w:val="24"/>
        </w:rPr>
        <w:t>评委会由有关技术、经济等方面的专家组成，且人员构成符合招标有关规定。</w:t>
      </w:r>
    </w:p>
    <w:p>
      <w:pPr>
        <w:adjustRightInd w:val="0"/>
        <w:snapToGrid w:val="0"/>
        <w:spacing w:line="460" w:lineRule="exact"/>
        <w:ind w:firstLine="480" w:firstLineChars="200"/>
        <w:rPr>
          <w:rFonts w:ascii="宋体" w:hAnsi="宋体" w:cs="仿宋"/>
          <w:color w:val="auto"/>
          <w:sz w:val="24"/>
        </w:rPr>
      </w:pPr>
      <w:r>
        <w:rPr>
          <w:rFonts w:ascii="宋体" w:hAnsi="宋体" w:cs="仿宋"/>
          <w:bCs/>
          <w:color w:val="auto"/>
          <w:sz w:val="24"/>
        </w:rPr>
        <w:t>2</w:t>
      </w:r>
      <w:r>
        <w:rPr>
          <w:rFonts w:hint="eastAsia" w:ascii="宋体" w:hAnsi="宋体" w:cs="仿宋"/>
          <w:bCs/>
          <w:color w:val="auto"/>
          <w:sz w:val="24"/>
        </w:rPr>
        <w:t>.</w:t>
      </w:r>
      <w:r>
        <w:rPr>
          <w:rFonts w:ascii="宋体" w:hAnsi="宋体" w:cs="仿宋"/>
          <w:bCs/>
          <w:color w:val="auto"/>
          <w:sz w:val="24"/>
        </w:rPr>
        <w:t>3</w:t>
      </w:r>
      <w:r>
        <w:rPr>
          <w:rFonts w:hint="eastAsia" w:ascii="宋体" w:hAnsi="宋体" w:cs="仿宋"/>
          <w:color w:val="auto"/>
          <w:sz w:val="24"/>
        </w:rPr>
        <w:t>评委会独立工作，负责评审所有投标文件并推荐中候选标人。</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3. 评审过程的保密与公正</w:t>
      </w:r>
    </w:p>
    <w:p>
      <w:pPr>
        <w:tabs>
          <w:tab w:val="left" w:pos="900"/>
        </w:tabs>
        <w:adjustRightInd w:val="0"/>
        <w:snapToGrid w:val="0"/>
        <w:spacing w:line="460" w:lineRule="exact"/>
        <w:ind w:firstLine="480" w:firstLineChars="200"/>
        <w:rPr>
          <w:rFonts w:ascii="宋体" w:hAnsi="宋体" w:cs="仿宋"/>
          <w:color w:val="auto"/>
          <w:sz w:val="24"/>
        </w:rPr>
      </w:pPr>
      <w:r>
        <w:rPr>
          <w:rFonts w:ascii="宋体" w:hAnsi="宋体" w:cs="仿宋"/>
          <w:bCs/>
          <w:color w:val="auto"/>
          <w:sz w:val="24"/>
        </w:rPr>
        <w:t>3</w:t>
      </w:r>
      <w:r>
        <w:rPr>
          <w:rFonts w:hint="eastAsia" w:ascii="宋体" w:hAnsi="宋体" w:cs="仿宋"/>
          <w:bCs/>
          <w:color w:val="auto"/>
          <w:sz w:val="24"/>
        </w:rPr>
        <w:t>.1</w:t>
      </w:r>
      <w:r>
        <w:rPr>
          <w:rFonts w:hint="eastAsia" w:ascii="宋体" w:hAnsi="宋体" w:cs="仿宋"/>
          <w:color w:val="auto"/>
          <w:sz w:val="24"/>
        </w:rPr>
        <w:t>公开开标后，直至向中标的投标人授予合同时止，凡是与审查、澄清、评价和比较投标的有关资料以及授标建议等，采购人、评委均不得向投标人或与评标无关的其他人员透露。</w:t>
      </w:r>
    </w:p>
    <w:p>
      <w:pPr>
        <w:tabs>
          <w:tab w:val="left" w:pos="900"/>
        </w:tabs>
        <w:adjustRightInd w:val="0"/>
        <w:snapToGrid w:val="0"/>
        <w:spacing w:line="460" w:lineRule="exact"/>
        <w:ind w:firstLine="480" w:firstLineChars="200"/>
        <w:rPr>
          <w:rFonts w:ascii="宋体" w:hAnsi="宋体" w:cs="仿宋"/>
          <w:color w:val="auto"/>
          <w:sz w:val="24"/>
        </w:rPr>
      </w:pPr>
      <w:r>
        <w:rPr>
          <w:rFonts w:ascii="宋体" w:hAnsi="宋体" w:cs="仿宋"/>
          <w:bCs/>
          <w:color w:val="auto"/>
          <w:sz w:val="24"/>
        </w:rPr>
        <w:t>3</w:t>
      </w:r>
      <w:r>
        <w:rPr>
          <w:rFonts w:hint="eastAsia" w:ascii="宋体" w:hAnsi="宋体" w:cs="仿宋"/>
          <w:bCs/>
          <w:color w:val="auto"/>
          <w:sz w:val="24"/>
        </w:rPr>
        <w:t>.</w:t>
      </w:r>
      <w:r>
        <w:rPr>
          <w:rFonts w:ascii="宋体" w:hAnsi="宋体" w:cs="仿宋"/>
          <w:bCs/>
          <w:color w:val="auto"/>
          <w:sz w:val="24"/>
        </w:rPr>
        <w:t>2</w:t>
      </w:r>
      <w:r>
        <w:rPr>
          <w:rFonts w:hint="eastAsia" w:ascii="宋体" w:hAnsi="宋体" w:cs="仿宋"/>
          <w:color w:val="auto"/>
          <w:sz w:val="24"/>
        </w:rPr>
        <w:t>在评标过程中，投标人不得以任何行为影响评标过程，否则其投标文件将被作为无效投标文件。</w:t>
      </w:r>
    </w:p>
    <w:p>
      <w:pPr>
        <w:tabs>
          <w:tab w:val="left" w:pos="900"/>
        </w:tabs>
        <w:adjustRightInd w:val="0"/>
        <w:snapToGrid w:val="0"/>
        <w:spacing w:line="460" w:lineRule="exact"/>
        <w:ind w:firstLine="480" w:firstLineChars="200"/>
        <w:rPr>
          <w:rFonts w:ascii="宋体" w:hAnsi="宋体" w:cs="仿宋"/>
          <w:color w:val="auto"/>
          <w:sz w:val="24"/>
        </w:rPr>
      </w:pPr>
      <w:r>
        <w:rPr>
          <w:rFonts w:ascii="宋体" w:hAnsi="宋体" w:cs="仿宋"/>
          <w:bCs/>
          <w:color w:val="auto"/>
          <w:sz w:val="24"/>
        </w:rPr>
        <w:t>3</w:t>
      </w:r>
      <w:r>
        <w:rPr>
          <w:rFonts w:hint="eastAsia" w:ascii="宋体" w:hAnsi="宋体" w:cs="仿宋"/>
          <w:bCs/>
          <w:color w:val="auto"/>
          <w:sz w:val="24"/>
        </w:rPr>
        <w:t>.</w:t>
      </w:r>
      <w:r>
        <w:rPr>
          <w:rFonts w:ascii="宋体" w:hAnsi="宋体" w:cs="仿宋"/>
          <w:bCs/>
          <w:color w:val="auto"/>
          <w:sz w:val="24"/>
        </w:rPr>
        <w:t>3</w:t>
      </w:r>
      <w:r>
        <w:rPr>
          <w:rFonts w:hint="eastAsia" w:ascii="宋体" w:hAnsi="宋体" w:cs="仿宋"/>
          <w:color w:val="auto"/>
          <w:sz w:val="24"/>
        </w:rPr>
        <w:t>在评标期间，将设专门人员与投标人联系。</w:t>
      </w:r>
    </w:p>
    <w:p>
      <w:pPr>
        <w:tabs>
          <w:tab w:val="left" w:pos="900"/>
        </w:tabs>
        <w:adjustRightInd w:val="0"/>
        <w:snapToGrid w:val="0"/>
        <w:spacing w:line="460" w:lineRule="exact"/>
        <w:ind w:firstLine="480" w:firstLineChars="200"/>
        <w:rPr>
          <w:rFonts w:ascii="宋体" w:hAnsi="宋体" w:cs="仿宋"/>
          <w:color w:val="auto"/>
          <w:sz w:val="24"/>
        </w:rPr>
      </w:pPr>
      <w:r>
        <w:rPr>
          <w:rFonts w:ascii="宋体" w:hAnsi="宋体" w:cs="仿宋"/>
          <w:bCs/>
          <w:color w:val="auto"/>
          <w:sz w:val="24"/>
        </w:rPr>
        <w:t>3</w:t>
      </w:r>
      <w:r>
        <w:rPr>
          <w:rFonts w:hint="eastAsia" w:ascii="宋体" w:hAnsi="宋体" w:cs="仿宋"/>
          <w:bCs/>
          <w:color w:val="auto"/>
          <w:sz w:val="24"/>
        </w:rPr>
        <w:t>.</w:t>
      </w:r>
      <w:r>
        <w:rPr>
          <w:rFonts w:ascii="宋体" w:hAnsi="宋体" w:cs="仿宋"/>
          <w:bCs/>
          <w:color w:val="auto"/>
          <w:sz w:val="24"/>
        </w:rPr>
        <w:t>4</w:t>
      </w:r>
      <w:r>
        <w:rPr>
          <w:rFonts w:hint="eastAsia" w:ascii="宋体" w:hAnsi="宋体" w:cs="仿宋"/>
          <w:color w:val="auto"/>
          <w:sz w:val="24"/>
        </w:rPr>
        <w:t>评标委员会不得向落标的投标人解释未中标原因，也不公布评标过程中的相关细节。</w:t>
      </w:r>
    </w:p>
    <w:p>
      <w:pPr>
        <w:tabs>
          <w:tab w:val="left" w:pos="900"/>
        </w:tabs>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4.评审过程的澄清</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4.1评标期间，为有助于对投标文件的审查、评价和比较，评委会有权以书面形式要求投标人对其投标文件进行澄清，但并非对每个投标人都作澄清要求。</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4.</w:t>
      </w:r>
      <w:r>
        <w:rPr>
          <w:rFonts w:ascii="宋体" w:hAnsi="宋体" w:cs="仿宋"/>
          <w:color w:val="auto"/>
          <w:sz w:val="24"/>
        </w:rPr>
        <w:t>2</w:t>
      </w:r>
      <w:r>
        <w:rPr>
          <w:rFonts w:hint="eastAsia" w:ascii="宋体" w:hAnsi="宋体" w:cs="仿宋"/>
          <w:color w:val="auto"/>
          <w:sz w:val="24"/>
        </w:rPr>
        <w:t>到评委会澄清要求的投标人应派人按评委会通知的时间和地点做出书面澄清，书面澄清的内容须由投标人法人或授权代表签署，并作为投标文件的补充部分，但投标的价格和实质性的内容不得做任何更改。</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4.</w:t>
      </w:r>
      <w:r>
        <w:rPr>
          <w:rFonts w:ascii="宋体" w:hAnsi="宋体" w:cs="仿宋"/>
          <w:color w:val="auto"/>
          <w:sz w:val="24"/>
        </w:rPr>
        <w:t>3</w:t>
      </w:r>
      <w:r>
        <w:rPr>
          <w:rFonts w:hint="eastAsia" w:ascii="宋体" w:hAnsi="宋体" w:cs="仿宋"/>
          <w:color w:val="auto"/>
          <w:sz w:val="24"/>
        </w:rPr>
        <w:t>接到评委会澄清要求的投标人如未按规定做出澄清，其风险由投标人自行承担。</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5.对投标响应文件的初审</w:t>
      </w:r>
    </w:p>
    <w:p>
      <w:pPr>
        <w:tabs>
          <w:tab w:val="left" w:pos="6555"/>
          <w:tab w:val="right" w:pos="8306"/>
        </w:tabs>
        <w:adjustRightInd w:val="0"/>
        <w:snapToGrid w:val="0"/>
        <w:spacing w:line="460" w:lineRule="exact"/>
        <w:ind w:firstLine="480" w:firstLineChars="200"/>
        <w:rPr>
          <w:rFonts w:ascii="宋体" w:hAnsi="宋体" w:cs="仿宋"/>
          <w:bCs/>
          <w:color w:val="auto"/>
          <w:sz w:val="24"/>
        </w:rPr>
      </w:pPr>
      <w:r>
        <w:rPr>
          <w:rFonts w:ascii="宋体" w:hAnsi="宋体" w:cs="仿宋"/>
          <w:color w:val="auto"/>
          <w:sz w:val="24"/>
        </w:rPr>
        <w:t>5.1</w:t>
      </w:r>
      <w:r>
        <w:rPr>
          <w:rFonts w:hint="eastAsia" w:ascii="宋体" w:hAnsi="宋体" w:cs="仿宋"/>
          <w:bCs/>
          <w:color w:val="auto"/>
          <w:sz w:val="24"/>
        </w:rPr>
        <w:t>投标文件初审分为资格性检查和符合性检查。</w:t>
      </w:r>
    </w:p>
    <w:p>
      <w:pPr>
        <w:tabs>
          <w:tab w:val="left" w:pos="6555"/>
          <w:tab w:val="right" w:pos="8306"/>
        </w:tabs>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资格性检查：依据法律法规和招标文件的规定，对投标文件中的资格证明文件进行审查，以确定投标供应商是否具备投标资格。</w:t>
      </w:r>
    </w:p>
    <w:p>
      <w:pPr>
        <w:tabs>
          <w:tab w:val="left" w:pos="6555"/>
          <w:tab w:val="right" w:pos="8306"/>
        </w:tabs>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凡在投标截止时间节点，已被“信用中国”网站列入信用记录失信被执行人、重大税收违法案件当事人名单、政府采购严重违法失信行为记录名单，将拒绝其参加招标活动。</w:t>
      </w:r>
    </w:p>
    <w:p>
      <w:pPr>
        <w:tabs>
          <w:tab w:val="left" w:pos="6555"/>
          <w:tab w:val="right" w:pos="8306"/>
        </w:tabs>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符合性检查：依据招标文件的规定，从投标文件的有效性、完整性和对招标文件的响应程度进行审查，以确定是否对招标文件的实质性要求作出响应。</w:t>
      </w:r>
    </w:p>
    <w:p>
      <w:pPr>
        <w:tabs>
          <w:tab w:val="left" w:pos="6555"/>
          <w:tab w:val="right" w:pos="8306"/>
        </w:tabs>
        <w:adjustRightInd w:val="0"/>
        <w:snapToGrid w:val="0"/>
        <w:spacing w:line="460" w:lineRule="exact"/>
        <w:ind w:firstLine="480" w:firstLineChars="200"/>
        <w:rPr>
          <w:rFonts w:ascii="宋体" w:hAnsi="宋体" w:cs="仿宋"/>
          <w:bCs/>
          <w:color w:val="auto"/>
          <w:sz w:val="24"/>
        </w:rPr>
      </w:pPr>
      <w:r>
        <w:rPr>
          <w:rFonts w:ascii="宋体" w:hAnsi="宋体" w:cs="仿宋"/>
          <w:color w:val="auto"/>
          <w:sz w:val="24"/>
        </w:rPr>
        <w:t>5.2</w:t>
      </w:r>
      <w:r>
        <w:rPr>
          <w:rFonts w:hint="eastAsia" w:ascii="宋体" w:hAnsi="宋体" w:cs="仿宋"/>
          <w:bCs/>
          <w:color w:val="auto"/>
          <w:sz w:val="24"/>
        </w:rPr>
        <w:t>在详细评标之前，评委会将首先审查每份投标文件是否实质性响应了招标文件的要求。实质性响应的投标应该是与招标文件要求的全部条款、条件和规格相符，没有重大偏离或保留的投标。</w:t>
      </w:r>
    </w:p>
    <w:p>
      <w:pPr>
        <w:tabs>
          <w:tab w:val="left" w:pos="6555"/>
          <w:tab w:val="right" w:pos="8306"/>
        </w:tabs>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评委决定投标文件的响应性只根据投标文件本身的内容，而不寻求外部的证据。</w:t>
      </w:r>
    </w:p>
    <w:p>
      <w:pPr>
        <w:tabs>
          <w:tab w:val="left" w:pos="6555"/>
          <w:tab w:val="right" w:pos="8306"/>
        </w:tabs>
        <w:adjustRightInd w:val="0"/>
        <w:snapToGrid w:val="0"/>
        <w:spacing w:line="460" w:lineRule="exact"/>
        <w:ind w:firstLine="480" w:firstLineChars="200"/>
        <w:rPr>
          <w:rFonts w:ascii="宋体" w:hAnsi="宋体" w:cs="仿宋"/>
          <w:bCs/>
          <w:color w:val="auto"/>
          <w:sz w:val="24"/>
        </w:rPr>
      </w:pPr>
      <w:r>
        <w:rPr>
          <w:rFonts w:ascii="宋体" w:hAnsi="宋体" w:cs="仿宋"/>
          <w:color w:val="auto"/>
          <w:sz w:val="24"/>
        </w:rPr>
        <w:t>5</w:t>
      </w:r>
      <w:r>
        <w:rPr>
          <w:rFonts w:hint="eastAsia" w:ascii="宋体" w:hAnsi="宋体" w:cs="仿宋"/>
          <w:color w:val="auto"/>
          <w:sz w:val="24"/>
        </w:rPr>
        <w:t>.</w:t>
      </w:r>
      <w:r>
        <w:rPr>
          <w:rFonts w:ascii="宋体" w:hAnsi="宋体" w:cs="仿宋"/>
          <w:color w:val="auto"/>
          <w:sz w:val="24"/>
        </w:rPr>
        <w:t>3</w:t>
      </w:r>
      <w:r>
        <w:rPr>
          <w:rFonts w:hint="eastAsia" w:ascii="宋体" w:hAnsi="宋体" w:cs="仿宋"/>
          <w:bCs/>
          <w:color w:val="auto"/>
          <w:sz w:val="24"/>
        </w:rPr>
        <w:t>如果投标文件实质上没有响应招标文件的要求，评委会将予以拒绝，投标人不得通过修改或撤销不合要求的偏离或保留而使其投标成为实质性响应的投标。</w:t>
      </w:r>
    </w:p>
    <w:p>
      <w:pPr>
        <w:tabs>
          <w:tab w:val="left" w:pos="6555"/>
          <w:tab w:val="right" w:pos="8306"/>
        </w:tabs>
        <w:adjustRightInd w:val="0"/>
        <w:snapToGrid w:val="0"/>
        <w:spacing w:line="460" w:lineRule="exact"/>
        <w:ind w:firstLine="480" w:firstLineChars="200"/>
        <w:rPr>
          <w:rFonts w:ascii="宋体" w:hAnsi="宋体" w:cs="仿宋"/>
          <w:bCs/>
          <w:color w:val="auto"/>
          <w:sz w:val="24"/>
        </w:rPr>
      </w:pPr>
      <w:r>
        <w:rPr>
          <w:rFonts w:ascii="宋体" w:hAnsi="宋体" w:cs="仿宋"/>
          <w:color w:val="auto"/>
          <w:sz w:val="24"/>
        </w:rPr>
        <w:t>5.4</w:t>
      </w:r>
      <w:r>
        <w:rPr>
          <w:rFonts w:hint="eastAsia" w:ascii="宋体" w:hAnsi="宋体" w:cs="仿宋"/>
          <w:bCs/>
          <w:color w:val="auto"/>
          <w:sz w:val="24"/>
        </w:rPr>
        <w:t>评委会将对确定为实质性响应的投标进行进一步审核，对投标文件中大小写金额不一致等问题的评审原则如下：</w:t>
      </w:r>
    </w:p>
    <w:p>
      <w:pPr>
        <w:tabs>
          <w:tab w:val="left" w:pos="6555"/>
          <w:tab w:val="right" w:pos="8306"/>
        </w:tabs>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tabs>
          <w:tab w:val="left" w:pos="6555"/>
          <w:tab w:val="right" w:pos="8306"/>
        </w:tabs>
        <w:adjustRightInd w:val="0"/>
        <w:snapToGrid w:val="0"/>
        <w:spacing w:line="460" w:lineRule="exact"/>
        <w:ind w:firstLine="480" w:firstLineChars="200"/>
        <w:rPr>
          <w:rFonts w:ascii="宋体" w:hAnsi="宋体" w:cs="仿宋"/>
          <w:bCs/>
          <w:color w:val="auto"/>
          <w:sz w:val="24"/>
        </w:rPr>
      </w:pPr>
      <w:r>
        <w:rPr>
          <w:rFonts w:ascii="宋体" w:hAnsi="宋体" w:cs="仿宋"/>
          <w:color w:val="auto"/>
          <w:sz w:val="24"/>
        </w:rPr>
        <w:t>5.5</w:t>
      </w:r>
      <w:r>
        <w:rPr>
          <w:rFonts w:hint="eastAsia" w:ascii="宋体" w:hAnsi="宋体" w:cs="仿宋"/>
          <w:bCs/>
          <w:color w:val="auto"/>
          <w:sz w:val="24"/>
        </w:rPr>
        <w:t>评委会将按上述修正错误的方法调整投标文件中的投标报价，调整后的价格应对投标人具有约束力。如果投标人不接受修正后的价格，则其投标将被拒绝。</w:t>
      </w:r>
    </w:p>
    <w:p>
      <w:pPr>
        <w:tabs>
          <w:tab w:val="left" w:pos="6555"/>
          <w:tab w:val="right" w:pos="8306"/>
        </w:tabs>
        <w:adjustRightInd w:val="0"/>
        <w:snapToGrid w:val="0"/>
        <w:spacing w:line="460" w:lineRule="exact"/>
        <w:ind w:firstLine="480" w:firstLineChars="200"/>
        <w:rPr>
          <w:rFonts w:ascii="宋体" w:hAnsi="宋体" w:cs="仿宋"/>
          <w:bCs/>
          <w:color w:val="auto"/>
          <w:sz w:val="24"/>
        </w:rPr>
      </w:pPr>
      <w:r>
        <w:rPr>
          <w:rFonts w:ascii="宋体" w:hAnsi="宋体" w:cs="仿宋"/>
          <w:color w:val="auto"/>
          <w:sz w:val="24"/>
        </w:rPr>
        <w:t>5</w:t>
      </w:r>
      <w:r>
        <w:rPr>
          <w:rFonts w:hint="eastAsia" w:ascii="宋体" w:hAnsi="宋体" w:cs="仿宋"/>
          <w:color w:val="auto"/>
          <w:sz w:val="24"/>
        </w:rPr>
        <w:t>.</w:t>
      </w:r>
      <w:r>
        <w:rPr>
          <w:rFonts w:ascii="宋体" w:hAnsi="宋体" w:cs="仿宋"/>
          <w:color w:val="auto"/>
          <w:sz w:val="24"/>
        </w:rPr>
        <w:t>6</w:t>
      </w:r>
      <w:r>
        <w:rPr>
          <w:rFonts w:hint="eastAsia" w:ascii="宋体" w:hAnsi="宋体" w:cs="仿宋"/>
          <w:bCs/>
          <w:color w:val="auto"/>
          <w:sz w:val="24"/>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p>
    <w:p>
      <w:pPr>
        <w:tabs>
          <w:tab w:val="left" w:pos="6555"/>
          <w:tab w:val="right" w:pos="8306"/>
        </w:tabs>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6. 被认定为未实质性响应招标文件的响应文件的情形。</w:t>
      </w:r>
    </w:p>
    <w:p>
      <w:pPr>
        <w:tabs>
          <w:tab w:val="left" w:pos="6555"/>
          <w:tab w:val="right" w:pos="8306"/>
        </w:tabs>
        <w:adjustRightInd w:val="0"/>
        <w:snapToGrid w:val="0"/>
        <w:spacing w:line="460" w:lineRule="exact"/>
        <w:ind w:firstLine="480" w:firstLineChars="200"/>
        <w:rPr>
          <w:rFonts w:ascii="宋体" w:hAnsi="宋体" w:cs="仿宋"/>
          <w:b/>
          <w:color w:val="auto"/>
          <w:sz w:val="24"/>
        </w:rPr>
      </w:pPr>
      <w:r>
        <w:rPr>
          <w:rFonts w:hint="eastAsia" w:ascii="宋体" w:hAnsi="宋体" w:cs="仿宋"/>
          <w:bCs/>
          <w:color w:val="auto"/>
          <w:sz w:val="24"/>
        </w:rPr>
        <w:t>6.1出现下列情形之一的，作无效响应处理。</w:t>
      </w:r>
      <w:r>
        <w:rPr>
          <w:rFonts w:hint="eastAsia" w:ascii="宋体" w:hAnsi="宋体" w:cs="仿宋"/>
          <w:bCs/>
          <w:color w:val="auto"/>
          <w:sz w:val="24"/>
        </w:rPr>
        <w:tab/>
      </w:r>
      <w:r>
        <w:rPr>
          <w:rFonts w:hint="eastAsia" w:ascii="宋体" w:hAnsi="宋体" w:cs="仿宋"/>
          <w:b/>
          <w:color w:val="auto"/>
          <w:sz w:val="24"/>
        </w:rPr>
        <w:tab/>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6.1.1供应商在规定的时间内未成功提交投标响应文件的。</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6.1.2未完整提交响应文件的。</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6.1.3同一供应商提交两个（含两个）以上不同的响应报价的。</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 xml:space="preserve">6.1.4不具备招标文件中规定的资格要求的。 </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 xml:space="preserve">6.1.5响应报价超过了采购预算或最高限价的。 </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6.1.6未通过符合性检查的。</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6.1.7不符合法律、法规和招标文件中规定的其他实质性要求的。</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6.1.8供应商被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6.1.9 响应文件含有采购人不能接受的附加条件的。</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6.1.10评标委员会认为供应商的报价明显低于其他通过符合性审查供应商的报价，有可能影响产品质量或者不能诚信履约的，将要求其在合理的时间内提供说明，必要时提交相关证明材料；供应商不能证明其报价合理性的，评标委员会应当将其作为无效响应处理。</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6.1.11响应文件未按照采购文件要求盖章、密封的。</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6.1.12投标人的商务技术部分得分相差悬殊，评标委员会认为得分畸低者没有实质性响应的。</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6.1.13其他法律、法规及本招标文件规定的属无效响应的情形。</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6.2出现下列情形之一的，采购失败。</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6.2.1符合条件的供应商或者对招标文件作实质响应的供应商不足3家的；</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6.2.2出现影响采购公正的违法违规行为的；</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6.2.3因重大变故，采购任务取消的。</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6.2.4评标委员会认定招标文件存在歧义、重大缺陷导致评审工作无法进行。</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6.3 响应</w:t>
      </w:r>
      <w:r>
        <w:rPr>
          <w:rFonts w:hint="eastAsia" w:ascii="宋体" w:hAnsi="宋体" w:cs="仿宋"/>
          <w:color w:val="auto"/>
          <w:sz w:val="24"/>
        </w:rPr>
        <w:t>文件提交</w:t>
      </w:r>
      <w:r>
        <w:rPr>
          <w:rFonts w:hint="eastAsia" w:ascii="宋体" w:hAnsi="宋体" w:cs="仿宋"/>
          <w:bCs/>
          <w:color w:val="auto"/>
          <w:sz w:val="24"/>
        </w:rPr>
        <w:t>截止时间结束后参加投标的供应商不足三家的处理：</w:t>
      </w:r>
    </w:p>
    <w:p>
      <w:pPr>
        <w:adjustRightInd w:val="0"/>
        <w:snapToGrid w:val="0"/>
        <w:spacing w:line="460" w:lineRule="exact"/>
        <w:ind w:firstLine="480" w:firstLineChars="200"/>
        <w:rPr>
          <w:rFonts w:ascii="宋体" w:hAnsi="宋体" w:cs="仿宋"/>
          <w:bCs/>
          <w:color w:val="auto"/>
          <w:sz w:val="24"/>
        </w:rPr>
      </w:pPr>
      <w:r>
        <w:rPr>
          <w:rFonts w:hint="eastAsia" w:ascii="宋体" w:hAnsi="宋体" w:cs="仿宋"/>
          <w:bCs/>
          <w:color w:val="auto"/>
          <w:sz w:val="24"/>
        </w:rPr>
        <w:t>6.3.1如出现响应</w:t>
      </w:r>
      <w:r>
        <w:rPr>
          <w:rFonts w:hint="eastAsia" w:ascii="宋体" w:hAnsi="宋体" w:cs="仿宋"/>
          <w:color w:val="auto"/>
          <w:sz w:val="24"/>
        </w:rPr>
        <w:t>文件提交</w:t>
      </w:r>
      <w:r>
        <w:rPr>
          <w:rFonts w:hint="eastAsia" w:ascii="宋体" w:hAnsi="宋体" w:cs="仿宋"/>
          <w:bCs/>
          <w:color w:val="auto"/>
          <w:sz w:val="24"/>
        </w:rPr>
        <w:t>截止时间结束后参加投标的供应商或者在评审期间对招标文件做出实质响应的供应商不足三家情况，按政府采购相关规定执行。</w:t>
      </w:r>
      <w:bookmarkEnd w:id="77"/>
      <w:bookmarkEnd w:id="78"/>
      <w:bookmarkEnd w:id="79"/>
      <w:bookmarkStart w:id="80" w:name="_Toc120614219"/>
    </w:p>
    <w:p>
      <w:pPr>
        <w:adjustRightInd w:val="0"/>
        <w:snapToGrid w:val="0"/>
        <w:spacing w:line="460" w:lineRule="exact"/>
        <w:outlineLvl w:val="1"/>
        <w:rPr>
          <w:rFonts w:ascii="宋体" w:hAnsi="宋体" w:cs="仿宋"/>
          <w:b/>
          <w:bCs/>
          <w:color w:val="auto"/>
          <w:kern w:val="0"/>
          <w:sz w:val="24"/>
        </w:rPr>
      </w:pPr>
      <w:r>
        <w:rPr>
          <w:rFonts w:hint="eastAsia" w:ascii="宋体" w:hAnsi="宋体" w:cs="仿宋"/>
          <w:b/>
          <w:bCs/>
          <w:color w:val="auto"/>
          <w:kern w:val="0"/>
          <w:sz w:val="24"/>
        </w:rPr>
        <w:t>六</w:t>
      </w:r>
      <w:bookmarkEnd w:id="80"/>
      <w:r>
        <w:rPr>
          <w:rFonts w:hint="eastAsia" w:ascii="宋体" w:hAnsi="宋体" w:cs="仿宋"/>
          <w:b/>
          <w:bCs/>
          <w:color w:val="auto"/>
          <w:kern w:val="0"/>
          <w:sz w:val="24"/>
        </w:rPr>
        <w:t>、确定中标单位</w:t>
      </w:r>
      <w:bookmarkStart w:id="81" w:name="_Toc200451960"/>
    </w:p>
    <w:p>
      <w:pPr>
        <w:adjustRightInd w:val="0"/>
        <w:snapToGrid w:val="0"/>
        <w:spacing w:line="460" w:lineRule="exact"/>
        <w:ind w:firstLine="480" w:firstLineChars="200"/>
        <w:rPr>
          <w:rFonts w:ascii="宋体" w:hAnsi="宋体" w:cs="仿宋"/>
          <w:color w:val="auto"/>
          <w:kern w:val="0"/>
          <w:sz w:val="24"/>
        </w:rPr>
      </w:pPr>
      <w:r>
        <w:rPr>
          <w:rFonts w:hint="eastAsia" w:ascii="宋体" w:hAnsi="宋体" w:cs="仿宋"/>
          <w:color w:val="auto"/>
          <w:kern w:val="0"/>
          <w:sz w:val="24"/>
        </w:rPr>
        <w:t>1、评委会根据本招标文件规定评分办法与评分标准评出中标人。</w:t>
      </w:r>
    </w:p>
    <w:p>
      <w:pPr>
        <w:adjustRightInd w:val="0"/>
        <w:snapToGrid w:val="0"/>
        <w:spacing w:line="460" w:lineRule="exact"/>
        <w:ind w:firstLine="480" w:firstLineChars="200"/>
        <w:rPr>
          <w:rFonts w:ascii="宋体" w:hAnsi="宋体" w:cs="仿宋"/>
          <w:color w:val="auto"/>
          <w:kern w:val="0"/>
          <w:sz w:val="24"/>
        </w:rPr>
      </w:pPr>
      <w:r>
        <w:rPr>
          <w:rFonts w:hint="eastAsia" w:ascii="宋体" w:hAnsi="宋体" w:cs="仿宋"/>
          <w:color w:val="auto"/>
          <w:kern w:val="0"/>
          <w:sz w:val="24"/>
        </w:rPr>
        <w:t>2、采购人将在“南通市农业农村局网”发布中标公告，公告期限为1个工作日。</w:t>
      </w:r>
    </w:p>
    <w:p>
      <w:pPr>
        <w:adjustRightInd w:val="0"/>
        <w:snapToGrid w:val="0"/>
        <w:spacing w:line="460" w:lineRule="exact"/>
        <w:ind w:firstLine="480" w:firstLineChars="200"/>
        <w:rPr>
          <w:rFonts w:ascii="宋体" w:hAnsi="宋体" w:cs="仿宋"/>
          <w:color w:val="auto"/>
          <w:kern w:val="0"/>
          <w:sz w:val="24"/>
        </w:rPr>
      </w:pPr>
      <w:r>
        <w:rPr>
          <w:rFonts w:ascii="宋体" w:hAnsi="宋体" w:cs="仿宋"/>
          <w:color w:val="auto"/>
          <w:kern w:val="0"/>
          <w:sz w:val="24"/>
        </w:rPr>
        <w:t>3、</w:t>
      </w:r>
      <w:r>
        <w:rPr>
          <w:rFonts w:hint="eastAsia" w:ascii="宋体" w:hAnsi="宋体" w:cs="仿宋"/>
          <w:color w:val="auto"/>
          <w:kern w:val="0"/>
          <w:sz w:val="24"/>
        </w:rPr>
        <w:t>若有充分证据证明，中标人出现下列情况之一的，一经查实，将被取消中标资格：</w:t>
      </w:r>
    </w:p>
    <w:p>
      <w:pPr>
        <w:adjustRightInd w:val="0"/>
        <w:snapToGrid w:val="0"/>
        <w:spacing w:line="460" w:lineRule="exact"/>
        <w:ind w:firstLine="480" w:firstLineChars="200"/>
        <w:rPr>
          <w:rFonts w:ascii="宋体" w:hAnsi="宋体" w:cs="仿宋"/>
          <w:color w:val="auto"/>
          <w:kern w:val="0"/>
          <w:sz w:val="24"/>
        </w:rPr>
      </w:pPr>
      <w:r>
        <w:rPr>
          <w:rFonts w:hint="eastAsia" w:ascii="宋体" w:hAnsi="宋体" w:cs="仿宋"/>
          <w:color w:val="auto"/>
          <w:kern w:val="0"/>
          <w:sz w:val="24"/>
        </w:rPr>
        <w:t>3.1提供虚假材料谋取中标的；</w:t>
      </w:r>
    </w:p>
    <w:p>
      <w:pPr>
        <w:adjustRightInd w:val="0"/>
        <w:snapToGrid w:val="0"/>
        <w:spacing w:line="460" w:lineRule="exact"/>
        <w:ind w:firstLine="480" w:firstLineChars="200"/>
        <w:rPr>
          <w:rFonts w:ascii="宋体" w:hAnsi="宋体" w:cs="仿宋"/>
          <w:color w:val="auto"/>
          <w:kern w:val="0"/>
          <w:sz w:val="24"/>
        </w:rPr>
      </w:pPr>
      <w:r>
        <w:rPr>
          <w:rFonts w:hint="eastAsia" w:ascii="宋体" w:hAnsi="宋体" w:cs="仿宋"/>
          <w:color w:val="auto"/>
          <w:kern w:val="0"/>
          <w:sz w:val="24"/>
        </w:rPr>
        <w:t>3.2向采购人行贿或者提供其他不正当利益的；</w:t>
      </w:r>
    </w:p>
    <w:p>
      <w:pPr>
        <w:adjustRightInd w:val="0"/>
        <w:snapToGrid w:val="0"/>
        <w:spacing w:line="460" w:lineRule="exact"/>
        <w:ind w:firstLine="480" w:firstLineChars="200"/>
        <w:rPr>
          <w:rFonts w:ascii="宋体" w:hAnsi="宋体" w:cs="仿宋"/>
          <w:color w:val="auto"/>
          <w:kern w:val="0"/>
          <w:sz w:val="24"/>
        </w:rPr>
      </w:pPr>
      <w:r>
        <w:rPr>
          <w:rFonts w:hint="eastAsia" w:ascii="宋体" w:hAnsi="宋体" w:cs="仿宋"/>
          <w:color w:val="auto"/>
          <w:kern w:val="0"/>
          <w:sz w:val="24"/>
        </w:rPr>
        <w:t>3.3恶意竞争，投标总报价明显低于其自身合理成本且又无法提供证明的；</w:t>
      </w:r>
    </w:p>
    <w:p>
      <w:pPr>
        <w:adjustRightInd w:val="0"/>
        <w:snapToGrid w:val="0"/>
        <w:spacing w:line="460" w:lineRule="exact"/>
        <w:ind w:firstLine="480" w:firstLineChars="200"/>
        <w:rPr>
          <w:rFonts w:ascii="宋体" w:hAnsi="宋体" w:cs="仿宋"/>
          <w:color w:val="auto"/>
          <w:kern w:val="0"/>
          <w:sz w:val="24"/>
        </w:rPr>
      </w:pPr>
      <w:r>
        <w:rPr>
          <w:rFonts w:hint="eastAsia" w:ascii="宋体" w:hAnsi="宋体" w:cs="仿宋"/>
          <w:color w:val="auto"/>
          <w:kern w:val="0"/>
          <w:sz w:val="24"/>
        </w:rPr>
        <w:t>3.4属于本文件规定的无效条件，但在评标过程中又未被评委会发现的；</w:t>
      </w:r>
    </w:p>
    <w:p>
      <w:pPr>
        <w:adjustRightInd w:val="0"/>
        <w:snapToGrid w:val="0"/>
        <w:spacing w:line="460" w:lineRule="exact"/>
        <w:ind w:firstLine="480" w:firstLineChars="200"/>
        <w:rPr>
          <w:rFonts w:ascii="宋体" w:hAnsi="宋体" w:cs="仿宋"/>
          <w:color w:val="auto"/>
          <w:kern w:val="0"/>
          <w:sz w:val="24"/>
        </w:rPr>
      </w:pPr>
      <w:r>
        <w:rPr>
          <w:rFonts w:hint="eastAsia" w:ascii="宋体" w:hAnsi="宋体" w:cs="仿宋"/>
          <w:color w:val="auto"/>
          <w:kern w:val="0"/>
          <w:sz w:val="24"/>
        </w:rPr>
        <w:t>3.5与采购人或者其他供应商恶意串通的；</w:t>
      </w:r>
    </w:p>
    <w:p>
      <w:pPr>
        <w:adjustRightInd w:val="0"/>
        <w:snapToGrid w:val="0"/>
        <w:spacing w:line="460" w:lineRule="exact"/>
        <w:ind w:firstLine="480" w:firstLineChars="200"/>
        <w:rPr>
          <w:rFonts w:ascii="宋体" w:hAnsi="宋体" w:cs="仿宋"/>
          <w:color w:val="auto"/>
          <w:kern w:val="0"/>
          <w:sz w:val="24"/>
        </w:rPr>
      </w:pPr>
      <w:r>
        <w:rPr>
          <w:rFonts w:hint="eastAsia" w:ascii="宋体" w:hAnsi="宋体" w:cs="仿宋"/>
          <w:color w:val="auto"/>
          <w:kern w:val="0"/>
          <w:sz w:val="24"/>
        </w:rPr>
        <w:t>3.6采取不正当手段诋毁、排挤其他供应商的；</w:t>
      </w:r>
    </w:p>
    <w:p>
      <w:pPr>
        <w:adjustRightInd w:val="0"/>
        <w:snapToGrid w:val="0"/>
        <w:spacing w:line="460" w:lineRule="exact"/>
        <w:ind w:firstLine="480" w:firstLineChars="200"/>
        <w:rPr>
          <w:rFonts w:ascii="宋体" w:hAnsi="宋体" w:cs="仿宋"/>
          <w:color w:val="auto"/>
          <w:kern w:val="0"/>
          <w:sz w:val="24"/>
        </w:rPr>
      </w:pPr>
      <w:r>
        <w:rPr>
          <w:rFonts w:hint="eastAsia" w:ascii="宋体" w:hAnsi="宋体" w:cs="仿宋"/>
          <w:color w:val="auto"/>
          <w:kern w:val="0"/>
          <w:sz w:val="24"/>
        </w:rPr>
        <w:t>3.7不符合法律、法规的规定的。</w:t>
      </w:r>
    </w:p>
    <w:p>
      <w:pPr>
        <w:keepNext/>
        <w:adjustRightInd w:val="0"/>
        <w:snapToGrid w:val="0"/>
        <w:spacing w:line="460" w:lineRule="exact"/>
        <w:ind w:firstLine="480" w:firstLineChars="200"/>
        <w:rPr>
          <w:rFonts w:ascii="宋体" w:hAnsi="宋体" w:cs="仿宋"/>
          <w:color w:val="auto"/>
          <w:kern w:val="0"/>
          <w:sz w:val="24"/>
        </w:rPr>
      </w:pPr>
      <w:r>
        <w:rPr>
          <w:rFonts w:hint="eastAsia" w:ascii="宋体" w:hAnsi="宋体" w:cs="仿宋"/>
          <w:color w:val="auto"/>
          <w:kern w:val="0"/>
          <w:sz w:val="24"/>
        </w:rPr>
        <w:t>4、有下列情形之一的，属于恶意串通：</w:t>
      </w:r>
    </w:p>
    <w:p>
      <w:pPr>
        <w:keepNext/>
        <w:adjustRightInd w:val="0"/>
        <w:snapToGrid w:val="0"/>
        <w:spacing w:line="460" w:lineRule="exact"/>
        <w:ind w:firstLine="480" w:firstLineChars="200"/>
        <w:rPr>
          <w:rFonts w:ascii="宋体" w:hAnsi="宋体" w:cs="仿宋"/>
          <w:color w:val="auto"/>
          <w:kern w:val="0"/>
          <w:sz w:val="24"/>
        </w:rPr>
      </w:pPr>
      <w:r>
        <w:rPr>
          <w:rFonts w:hint="eastAsia" w:ascii="宋体" w:hAnsi="宋体" w:cs="仿宋"/>
          <w:color w:val="auto"/>
          <w:kern w:val="0"/>
          <w:sz w:val="24"/>
        </w:rPr>
        <w:t>4.1供应商直接或者间接从采购人处获得其他供应商的相关情况并修改其投标文件或者响应文件；</w:t>
      </w:r>
    </w:p>
    <w:p>
      <w:pPr>
        <w:keepNext/>
        <w:adjustRightInd w:val="0"/>
        <w:snapToGrid w:val="0"/>
        <w:spacing w:line="460" w:lineRule="exact"/>
        <w:ind w:firstLine="480" w:firstLineChars="200"/>
        <w:rPr>
          <w:rFonts w:ascii="宋体" w:hAnsi="宋体" w:cs="仿宋"/>
          <w:color w:val="auto"/>
          <w:kern w:val="0"/>
          <w:sz w:val="24"/>
        </w:rPr>
      </w:pPr>
      <w:r>
        <w:rPr>
          <w:rFonts w:hint="eastAsia" w:ascii="宋体" w:hAnsi="宋体" w:cs="仿宋"/>
          <w:color w:val="auto"/>
          <w:kern w:val="0"/>
          <w:sz w:val="24"/>
        </w:rPr>
        <w:t>4.2供应商按照采购人的授意撤换、修改投标文件或者响应文件；</w:t>
      </w:r>
    </w:p>
    <w:p>
      <w:pPr>
        <w:keepNext/>
        <w:adjustRightInd w:val="0"/>
        <w:snapToGrid w:val="0"/>
        <w:spacing w:line="460" w:lineRule="exact"/>
        <w:ind w:firstLine="480" w:firstLineChars="200"/>
        <w:rPr>
          <w:rFonts w:ascii="宋体" w:hAnsi="宋体" w:cs="仿宋"/>
          <w:color w:val="auto"/>
          <w:kern w:val="0"/>
          <w:sz w:val="24"/>
        </w:rPr>
      </w:pPr>
      <w:r>
        <w:rPr>
          <w:rFonts w:hint="eastAsia" w:ascii="宋体" w:hAnsi="宋体" w:cs="仿宋"/>
          <w:color w:val="auto"/>
          <w:kern w:val="0"/>
          <w:sz w:val="24"/>
        </w:rPr>
        <w:t>4.3供应商之间协商报价、技术方案等投标文件或者响应文件的实质性内容；</w:t>
      </w:r>
    </w:p>
    <w:p>
      <w:pPr>
        <w:keepNext/>
        <w:adjustRightInd w:val="0"/>
        <w:snapToGrid w:val="0"/>
        <w:spacing w:line="460" w:lineRule="exact"/>
        <w:ind w:firstLine="480" w:firstLineChars="200"/>
        <w:rPr>
          <w:rFonts w:ascii="宋体" w:hAnsi="宋体" w:cs="仿宋"/>
          <w:color w:val="auto"/>
          <w:kern w:val="0"/>
          <w:sz w:val="24"/>
        </w:rPr>
      </w:pPr>
      <w:r>
        <w:rPr>
          <w:rFonts w:hint="eastAsia" w:ascii="宋体" w:hAnsi="宋体" w:cs="仿宋"/>
          <w:color w:val="auto"/>
          <w:kern w:val="0"/>
          <w:sz w:val="24"/>
        </w:rPr>
        <w:t>4.4属于同一集团、协会、商会等组织成员的供应商按照该组织要求协同参加采购活动；</w:t>
      </w:r>
    </w:p>
    <w:p>
      <w:pPr>
        <w:keepNext/>
        <w:adjustRightInd w:val="0"/>
        <w:snapToGrid w:val="0"/>
        <w:spacing w:line="460" w:lineRule="exact"/>
        <w:ind w:firstLine="480" w:firstLineChars="200"/>
        <w:rPr>
          <w:rFonts w:ascii="宋体" w:hAnsi="宋体" w:cs="仿宋"/>
          <w:color w:val="auto"/>
          <w:kern w:val="0"/>
          <w:sz w:val="24"/>
        </w:rPr>
      </w:pPr>
      <w:r>
        <w:rPr>
          <w:rFonts w:hint="eastAsia" w:ascii="宋体" w:hAnsi="宋体" w:cs="仿宋"/>
          <w:color w:val="auto"/>
          <w:kern w:val="0"/>
          <w:sz w:val="24"/>
        </w:rPr>
        <w:t>4.5供应商之间事先约定由某一特定供应商中标、成交；</w:t>
      </w:r>
    </w:p>
    <w:p>
      <w:pPr>
        <w:keepNext/>
        <w:adjustRightInd w:val="0"/>
        <w:snapToGrid w:val="0"/>
        <w:spacing w:line="460" w:lineRule="exact"/>
        <w:ind w:firstLine="480" w:firstLineChars="200"/>
        <w:rPr>
          <w:rFonts w:ascii="宋体" w:hAnsi="宋体" w:cs="仿宋"/>
          <w:color w:val="auto"/>
          <w:kern w:val="0"/>
          <w:sz w:val="24"/>
        </w:rPr>
      </w:pPr>
      <w:r>
        <w:rPr>
          <w:rFonts w:hint="eastAsia" w:ascii="宋体" w:hAnsi="宋体" w:cs="仿宋"/>
          <w:color w:val="auto"/>
          <w:kern w:val="0"/>
          <w:sz w:val="24"/>
        </w:rPr>
        <w:t>4.6供应商之间商定部分供应商放弃参加采购活动或者放弃中标、成交；</w:t>
      </w:r>
    </w:p>
    <w:p>
      <w:pPr>
        <w:keepNext/>
        <w:adjustRightInd w:val="0"/>
        <w:snapToGrid w:val="0"/>
        <w:spacing w:line="460" w:lineRule="exact"/>
        <w:ind w:firstLine="480" w:firstLineChars="200"/>
        <w:rPr>
          <w:rFonts w:ascii="宋体" w:hAnsi="宋体" w:cs="仿宋"/>
          <w:color w:val="auto"/>
          <w:kern w:val="0"/>
          <w:sz w:val="24"/>
        </w:rPr>
      </w:pPr>
      <w:r>
        <w:rPr>
          <w:rFonts w:hint="eastAsia" w:ascii="宋体" w:hAnsi="宋体" w:cs="仿宋"/>
          <w:color w:val="auto"/>
          <w:kern w:val="0"/>
          <w:sz w:val="24"/>
        </w:rPr>
        <w:t>4.7供应商与采购人或之间、供应商相互之间，为谋求特定供应商中标、成交或者排斥其他供应商的其他串通行为。</w:t>
      </w:r>
    </w:p>
    <w:p>
      <w:pPr>
        <w:keepNext/>
        <w:adjustRightInd w:val="0"/>
        <w:snapToGrid w:val="0"/>
        <w:spacing w:line="460" w:lineRule="exact"/>
        <w:ind w:firstLine="480" w:firstLineChars="200"/>
        <w:rPr>
          <w:rFonts w:ascii="宋体" w:hAnsi="宋体" w:cs="仿宋"/>
          <w:b/>
          <w:color w:val="auto"/>
          <w:kern w:val="0"/>
          <w:sz w:val="24"/>
        </w:rPr>
      </w:pPr>
      <w:r>
        <w:rPr>
          <w:rFonts w:ascii="宋体" w:hAnsi="宋体" w:cs="仿宋"/>
          <w:color w:val="auto"/>
          <w:kern w:val="0"/>
          <w:sz w:val="24"/>
        </w:rPr>
        <w:t>6</w:t>
      </w:r>
      <w:r>
        <w:rPr>
          <w:rFonts w:hint="eastAsia" w:ascii="宋体" w:hAnsi="宋体" w:cs="仿宋"/>
          <w:color w:val="auto"/>
          <w:kern w:val="0"/>
          <w:sz w:val="24"/>
        </w:rPr>
        <w:t>.质疑处理</w:t>
      </w:r>
      <w:bookmarkEnd w:id="81"/>
    </w:p>
    <w:p>
      <w:pPr>
        <w:adjustRightInd w:val="0"/>
        <w:snapToGrid w:val="0"/>
        <w:spacing w:line="460" w:lineRule="exact"/>
        <w:ind w:firstLine="480" w:firstLineChars="200"/>
        <w:rPr>
          <w:rFonts w:ascii="宋体" w:hAnsi="宋体" w:cs="仿宋"/>
          <w:color w:val="auto"/>
          <w:sz w:val="24"/>
        </w:rPr>
      </w:pPr>
      <w:r>
        <w:rPr>
          <w:rFonts w:ascii="宋体" w:hAnsi="宋体" w:cs="仿宋"/>
          <w:color w:val="auto"/>
          <w:sz w:val="24"/>
        </w:rPr>
        <w:t>6</w:t>
      </w:r>
      <w:r>
        <w:rPr>
          <w:rFonts w:hint="eastAsia" w:ascii="宋体" w:hAnsi="宋体" w:cs="仿宋"/>
          <w:color w:val="auto"/>
          <w:sz w:val="24"/>
        </w:rPr>
        <w:t>.1 提出质疑的供应商应当是参与所质疑项目采购活动的供应商。潜在供应商依法获取其可质疑的招标文件的，可以对招标文件提出质疑。</w:t>
      </w:r>
    </w:p>
    <w:p>
      <w:pPr>
        <w:adjustRightInd w:val="0"/>
        <w:snapToGrid w:val="0"/>
        <w:spacing w:line="460" w:lineRule="exact"/>
        <w:ind w:firstLine="480" w:firstLineChars="200"/>
        <w:rPr>
          <w:rFonts w:ascii="宋体" w:hAnsi="宋体" w:cs="仿宋"/>
          <w:color w:val="auto"/>
          <w:sz w:val="24"/>
        </w:rPr>
      </w:pPr>
      <w:r>
        <w:rPr>
          <w:rFonts w:ascii="宋体" w:hAnsi="宋体" w:cs="仿宋"/>
          <w:color w:val="auto"/>
          <w:sz w:val="24"/>
        </w:rPr>
        <w:t>6</w:t>
      </w:r>
      <w:r>
        <w:rPr>
          <w:rFonts w:hint="eastAsia" w:ascii="宋体" w:hAnsi="宋体" w:cs="仿宋"/>
          <w:color w:val="auto"/>
          <w:sz w:val="24"/>
        </w:rPr>
        <w:t>.2供应商认为招标文件、采购过程和采购结果使自己的权益受到损害的，可以在知道或应知其权益受到损害之日起七个工作日内，以书面形式向采购人提出质疑。上述应知其权益受到损害之日，是指：</w:t>
      </w:r>
    </w:p>
    <w:p>
      <w:pPr>
        <w:adjustRightInd w:val="0"/>
        <w:snapToGrid w:val="0"/>
        <w:spacing w:line="460" w:lineRule="exact"/>
        <w:ind w:firstLine="480" w:firstLineChars="200"/>
        <w:rPr>
          <w:rFonts w:ascii="宋体" w:hAnsi="宋体" w:cs="仿宋"/>
          <w:color w:val="auto"/>
          <w:kern w:val="0"/>
          <w:sz w:val="24"/>
        </w:rPr>
      </w:pPr>
      <w:r>
        <w:rPr>
          <w:rFonts w:ascii="宋体" w:hAnsi="宋体" w:cs="仿宋"/>
          <w:color w:val="auto"/>
          <w:sz w:val="24"/>
        </w:rPr>
        <w:t>6</w:t>
      </w:r>
      <w:r>
        <w:rPr>
          <w:rFonts w:hint="eastAsia" w:ascii="宋体" w:hAnsi="宋体" w:cs="仿宋"/>
          <w:color w:val="auto"/>
          <w:sz w:val="24"/>
        </w:rPr>
        <w:t>.2.1</w:t>
      </w:r>
      <w:r>
        <w:rPr>
          <w:rFonts w:hint="eastAsia" w:ascii="宋体" w:hAnsi="宋体" w:cs="仿宋"/>
          <w:color w:val="auto"/>
          <w:kern w:val="0"/>
          <w:sz w:val="24"/>
        </w:rPr>
        <w:t>对可以质疑的招标文件提出质疑的，为收到招标文件之日或者招标文件公告期限届满之日；</w:t>
      </w:r>
    </w:p>
    <w:p>
      <w:pPr>
        <w:adjustRightInd w:val="0"/>
        <w:snapToGrid w:val="0"/>
        <w:spacing w:line="460" w:lineRule="exact"/>
        <w:ind w:firstLine="480" w:firstLineChars="200"/>
        <w:rPr>
          <w:rFonts w:ascii="宋体" w:hAnsi="宋体" w:cs="仿宋"/>
          <w:color w:val="auto"/>
          <w:kern w:val="0"/>
          <w:sz w:val="24"/>
        </w:rPr>
      </w:pPr>
      <w:r>
        <w:rPr>
          <w:rFonts w:ascii="宋体" w:hAnsi="宋体" w:cs="仿宋"/>
          <w:color w:val="auto"/>
          <w:sz w:val="24"/>
        </w:rPr>
        <w:t>6</w:t>
      </w:r>
      <w:r>
        <w:rPr>
          <w:rFonts w:hint="eastAsia" w:ascii="宋体" w:hAnsi="宋体" w:cs="仿宋"/>
          <w:color w:val="auto"/>
          <w:sz w:val="24"/>
        </w:rPr>
        <w:t>.2.2</w:t>
      </w:r>
      <w:r>
        <w:rPr>
          <w:rFonts w:hint="eastAsia" w:ascii="宋体" w:hAnsi="宋体" w:cs="仿宋"/>
          <w:color w:val="auto"/>
          <w:kern w:val="0"/>
          <w:sz w:val="24"/>
        </w:rPr>
        <w:t>对采购过程提出质疑的，为各采购程序环节结束之日；</w:t>
      </w:r>
    </w:p>
    <w:p>
      <w:pPr>
        <w:adjustRightInd w:val="0"/>
        <w:snapToGrid w:val="0"/>
        <w:spacing w:line="460" w:lineRule="exact"/>
        <w:ind w:firstLine="480" w:firstLineChars="200"/>
        <w:rPr>
          <w:rFonts w:ascii="宋体" w:hAnsi="宋体" w:cs="仿宋"/>
          <w:color w:val="auto"/>
          <w:kern w:val="0"/>
          <w:sz w:val="24"/>
        </w:rPr>
      </w:pPr>
      <w:r>
        <w:rPr>
          <w:rFonts w:ascii="宋体" w:hAnsi="宋体" w:cs="仿宋"/>
          <w:color w:val="auto"/>
          <w:sz w:val="24"/>
        </w:rPr>
        <w:t>6</w:t>
      </w:r>
      <w:r>
        <w:rPr>
          <w:rFonts w:hint="eastAsia" w:ascii="宋体" w:hAnsi="宋体" w:cs="仿宋"/>
          <w:color w:val="auto"/>
          <w:sz w:val="24"/>
        </w:rPr>
        <w:t>.2.3</w:t>
      </w:r>
      <w:r>
        <w:rPr>
          <w:rFonts w:hint="eastAsia" w:ascii="宋体" w:hAnsi="宋体" w:cs="仿宋"/>
          <w:color w:val="auto"/>
          <w:kern w:val="0"/>
          <w:sz w:val="24"/>
        </w:rPr>
        <w:t>对中标结果提出质疑的，为中标结果公告期限届满之日。</w:t>
      </w:r>
    </w:p>
    <w:p>
      <w:pPr>
        <w:adjustRightInd w:val="0"/>
        <w:snapToGrid w:val="0"/>
        <w:spacing w:line="460" w:lineRule="exact"/>
        <w:ind w:firstLine="480" w:firstLineChars="200"/>
        <w:rPr>
          <w:rFonts w:ascii="宋体" w:hAnsi="宋体" w:cs="仿宋"/>
          <w:color w:val="auto"/>
          <w:kern w:val="0"/>
          <w:sz w:val="24"/>
        </w:rPr>
      </w:pPr>
      <w:r>
        <w:rPr>
          <w:rFonts w:hint="eastAsia" w:ascii="宋体" w:hAnsi="宋体" w:cs="仿宋"/>
          <w:color w:val="auto"/>
          <w:kern w:val="0"/>
          <w:sz w:val="24"/>
        </w:rPr>
        <w:t>供应商应当在法定质疑期内一次性提出针对同一采购程序环节的质疑。</w:t>
      </w:r>
    </w:p>
    <w:p>
      <w:pPr>
        <w:adjustRightInd w:val="0"/>
        <w:snapToGrid w:val="0"/>
        <w:spacing w:line="460" w:lineRule="exact"/>
        <w:ind w:firstLine="480" w:firstLineChars="200"/>
        <w:rPr>
          <w:rFonts w:ascii="宋体" w:hAnsi="宋体" w:cs="仿宋"/>
          <w:color w:val="auto"/>
          <w:sz w:val="24"/>
        </w:rPr>
      </w:pPr>
      <w:r>
        <w:rPr>
          <w:rFonts w:ascii="宋体" w:hAnsi="宋体" w:cs="仿宋"/>
          <w:color w:val="auto"/>
          <w:sz w:val="24"/>
        </w:rPr>
        <w:t>6</w:t>
      </w:r>
      <w:r>
        <w:rPr>
          <w:rFonts w:hint="eastAsia" w:ascii="宋体" w:hAnsi="宋体" w:cs="仿宋"/>
          <w:color w:val="auto"/>
          <w:sz w:val="24"/>
        </w:rPr>
        <w:t>.3质疑函必须按照本招标文件中《质疑函范本》要求的格式和内容进行填写。供应商如组成联合体参加投标，则《质疑函范本》中要求签字、盖章、加盖公章之处，联合体各方均须按要求签字、盖章、加盖公章。</w:t>
      </w:r>
    </w:p>
    <w:p>
      <w:pPr>
        <w:adjustRightInd w:val="0"/>
        <w:snapToGrid w:val="0"/>
        <w:spacing w:line="460" w:lineRule="exact"/>
        <w:ind w:firstLine="480" w:firstLineChars="200"/>
        <w:rPr>
          <w:rFonts w:ascii="宋体" w:hAnsi="宋体" w:cs="仿宋"/>
          <w:b/>
          <w:color w:val="auto"/>
          <w:sz w:val="24"/>
        </w:rPr>
      </w:pPr>
      <w:r>
        <w:rPr>
          <w:rFonts w:ascii="宋体" w:hAnsi="宋体" w:cs="仿宋"/>
          <w:color w:val="auto"/>
          <w:sz w:val="24"/>
        </w:rPr>
        <w:t>6</w:t>
      </w:r>
      <w:r>
        <w:rPr>
          <w:rFonts w:hint="eastAsia" w:ascii="宋体" w:hAnsi="宋体" w:cs="仿宋"/>
          <w:color w:val="auto"/>
          <w:sz w:val="24"/>
        </w:rPr>
        <w:t>.4对采购方式、招标文件中项目需求、供应商资格条件、评审方法和评审标准、资格审查结果等应当由采购人答复的质疑，请向采购人提出，由采购人负责答复。</w:t>
      </w:r>
    </w:p>
    <w:p>
      <w:pPr>
        <w:adjustRightInd w:val="0"/>
        <w:snapToGrid w:val="0"/>
        <w:spacing w:line="460" w:lineRule="exact"/>
        <w:ind w:firstLine="480" w:firstLineChars="200"/>
        <w:rPr>
          <w:rFonts w:ascii="宋体" w:hAnsi="宋体" w:cs="仿宋"/>
          <w:color w:val="auto"/>
          <w:sz w:val="24"/>
        </w:rPr>
      </w:pPr>
      <w:r>
        <w:rPr>
          <w:rFonts w:ascii="宋体" w:hAnsi="宋体" w:cs="仿宋"/>
          <w:color w:val="auto"/>
          <w:sz w:val="24"/>
        </w:rPr>
        <w:t>6</w:t>
      </w:r>
      <w:r>
        <w:rPr>
          <w:rFonts w:hint="eastAsia" w:ascii="宋体" w:hAnsi="宋体" w:cs="仿宋"/>
          <w:color w:val="auto"/>
          <w:sz w:val="24"/>
        </w:rPr>
        <w:t>.5 以下情形的质疑不予受理</w:t>
      </w:r>
    </w:p>
    <w:p>
      <w:pPr>
        <w:adjustRightInd w:val="0"/>
        <w:snapToGrid w:val="0"/>
        <w:spacing w:line="460" w:lineRule="exact"/>
        <w:ind w:firstLine="480" w:firstLineChars="200"/>
        <w:rPr>
          <w:rFonts w:ascii="宋体" w:hAnsi="宋体" w:cs="仿宋"/>
          <w:color w:val="auto"/>
          <w:sz w:val="24"/>
        </w:rPr>
      </w:pPr>
      <w:r>
        <w:rPr>
          <w:rFonts w:ascii="宋体" w:hAnsi="宋体" w:cs="仿宋"/>
          <w:color w:val="auto"/>
          <w:sz w:val="24"/>
        </w:rPr>
        <w:t>6</w:t>
      </w:r>
      <w:r>
        <w:rPr>
          <w:rFonts w:hint="eastAsia" w:ascii="宋体" w:hAnsi="宋体" w:cs="仿宋"/>
          <w:color w:val="auto"/>
          <w:sz w:val="24"/>
        </w:rPr>
        <w:t>.5.1 内容不符合《政府采购质疑和投诉办法》第十二条规定的质疑。</w:t>
      </w:r>
    </w:p>
    <w:p>
      <w:pPr>
        <w:adjustRightInd w:val="0"/>
        <w:snapToGrid w:val="0"/>
        <w:spacing w:line="460" w:lineRule="exact"/>
        <w:ind w:firstLine="480" w:firstLineChars="200"/>
        <w:rPr>
          <w:rFonts w:ascii="宋体" w:hAnsi="宋体" w:cs="仿宋"/>
          <w:color w:val="auto"/>
          <w:sz w:val="24"/>
        </w:rPr>
      </w:pPr>
      <w:r>
        <w:rPr>
          <w:rFonts w:ascii="宋体" w:hAnsi="宋体" w:cs="仿宋"/>
          <w:color w:val="auto"/>
          <w:sz w:val="24"/>
        </w:rPr>
        <w:t>6</w:t>
      </w:r>
      <w:r>
        <w:rPr>
          <w:rFonts w:hint="eastAsia" w:ascii="宋体" w:hAnsi="宋体" w:cs="仿宋"/>
          <w:color w:val="auto"/>
          <w:sz w:val="24"/>
        </w:rPr>
        <w:t>.5.2 超出政府采购法定期限的质疑。</w:t>
      </w:r>
    </w:p>
    <w:p>
      <w:pPr>
        <w:adjustRightInd w:val="0"/>
        <w:snapToGrid w:val="0"/>
        <w:spacing w:line="460" w:lineRule="exact"/>
        <w:ind w:firstLine="480" w:firstLineChars="200"/>
        <w:rPr>
          <w:rFonts w:ascii="宋体" w:hAnsi="宋体" w:cs="仿宋"/>
          <w:color w:val="auto"/>
          <w:sz w:val="24"/>
        </w:rPr>
      </w:pPr>
      <w:r>
        <w:rPr>
          <w:rFonts w:ascii="宋体" w:hAnsi="宋体" w:cs="仿宋"/>
          <w:color w:val="auto"/>
          <w:sz w:val="24"/>
        </w:rPr>
        <w:t>6</w:t>
      </w:r>
      <w:r>
        <w:rPr>
          <w:rFonts w:hint="eastAsia" w:ascii="宋体" w:hAnsi="宋体" w:cs="仿宋"/>
          <w:color w:val="auto"/>
          <w:sz w:val="24"/>
        </w:rPr>
        <w:t>.5.3 未参加公开招标活动的供应商或在公开招标活动中自身权益未受到损害的供应商所提出的质疑。</w:t>
      </w:r>
    </w:p>
    <w:p>
      <w:pPr>
        <w:adjustRightInd w:val="0"/>
        <w:snapToGrid w:val="0"/>
        <w:spacing w:line="460" w:lineRule="exact"/>
        <w:ind w:firstLine="480" w:firstLineChars="200"/>
        <w:rPr>
          <w:rFonts w:ascii="宋体" w:hAnsi="宋体" w:cs="仿宋"/>
          <w:color w:val="auto"/>
          <w:sz w:val="24"/>
        </w:rPr>
      </w:pPr>
      <w:r>
        <w:rPr>
          <w:rFonts w:ascii="宋体" w:hAnsi="宋体" w:cs="仿宋"/>
          <w:color w:val="auto"/>
          <w:sz w:val="24"/>
        </w:rPr>
        <w:t>6</w:t>
      </w:r>
      <w:r>
        <w:rPr>
          <w:rFonts w:hint="eastAsia" w:ascii="宋体" w:hAnsi="宋体" w:cs="仿宋"/>
          <w:color w:val="auto"/>
          <w:sz w:val="24"/>
        </w:rPr>
        <w:t>.5.4供应商组成联合体参加投标，联合体中任何一方或多方未按要求签字、盖章、加盖公章的质疑。</w:t>
      </w:r>
    </w:p>
    <w:p>
      <w:pPr>
        <w:adjustRightInd w:val="0"/>
        <w:snapToGrid w:val="0"/>
        <w:spacing w:line="460" w:lineRule="exact"/>
        <w:ind w:firstLine="480" w:firstLineChars="200"/>
        <w:rPr>
          <w:rFonts w:ascii="宋体" w:hAnsi="宋体" w:cs="仿宋"/>
          <w:color w:val="auto"/>
          <w:sz w:val="24"/>
        </w:rPr>
      </w:pPr>
      <w:r>
        <w:rPr>
          <w:rFonts w:ascii="宋体" w:hAnsi="宋体" w:cs="仿宋"/>
          <w:color w:val="auto"/>
          <w:sz w:val="24"/>
        </w:rPr>
        <w:t>6</w:t>
      </w:r>
      <w:r>
        <w:rPr>
          <w:rFonts w:hint="eastAsia" w:ascii="宋体" w:hAnsi="宋体" w:cs="仿宋"/>
          <w:color w:val="auto"/>
          <w:sz w:val="24"/>
        </w:rPr>
        <w:t>.6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pPr>
        <w:keepNext/>
        <w:adjustRightInd w:val="0"/>
        <w:snapToGrid w:val="0"/>
        <w:spacing w:line="460" w:lineRule="exact"/>
        <w:ind w:firstLine="480" w:firstLineChars="200"/>
        <w:rPr>
          <w:rFonts w:ascii="宋体" w:hAnsi="宋体" w:cs="仿宋"/>
          <w:b/>
          <w:color w:val="auto"/>
          <w:kern w:val="0"/>
          <w:sz w:val="24"/>
        </w:rPr>
      </w:pPr>
      <w:r>
        <w:rPr>
          <w:rFonts w:ascii="宋体" w:hAnsi="宋体" w:cs="仿宋"/>
          <w:color w:val="auto"/>
          <w:kern w:val="0"/>
          <w:sz w:val="24"/>
        </w:rPr>
        <w:t>7</w:t>
      </w:r>
      <w:r>
        <w:rPr>
          <w:rFonts w:hint="eastAsia" w:ascii="宋体" w:hAnsi="宋体" w:cs="仿宋"/>
          <w:color w:val="auto"/>
          <w:kern w:val="0"/>
          <w:sz w:val="24"/>
        </w:rPr>
        <w:t>．中标通知书</w:t>
      </w:r>
    </w:p>
    <w:p>
      <w:pPr>
        <w:keepNext/>
        <w:keepLines/>
        <w:adjustRightInd w:val="0"/>
        <w:snapToGrid w:val="0"/>
        <w:spacing w:line="460" w:lineRule="exact"/>
        <w:ind w:firstLine="480" w:firstLineChars="200"/>
        <w:rPr>
          <w:rFonts w:ascii="宋体" w:hAnsi="宋体" w:cs="仿宋"/>
          <w:color w:val="auto"/>
          <w:sz w:val="24"/>
        </w:rPr>
      </w:pPr>
      <w:bookmarkStart w:id="82" w:name="_Toc120614220"/>
      <w:bookmarkStart w:id="83" w:name="_Toc513029236"/>
      <w:bookmarkStart w:id="84" w:name="_Toc16938552"/>
      <w:bookmarkStart w:id="85" w:name="_Toc20823308"/>
      <w:r>
        <w:rPr>
          <w:rFonts w:ascii="宋体" w:hAnsi="宋体" w:cs="仿宋"/>
          <w:color w:val="auto"/>
          <w:sz w:val="24"/>
        </w:rPr>
        <w:t>7.1</w:t>
      </w:r>
      <w:r>
        <w:rPr>
          <w:rFonts w:hint="eastAsia" w:ascii="宋体" w:hAnsi="宋体" w:cs="仿宋"/>
          <w:color w:val="auto"/>
          <w:sz w:val="24"/>
        </w:rPr>
        <w:t>中标结果确定后，采购人将向中标供应商发出中标通知书。</w:t>
      </w:r>
    </w:p>
    <w:p>
      <w:pPr>
        <w:keepNext/>
        <w:keepLines/>
        <w:adjustRightInd w:val="0"/>
        <w:snapToGrid w:val="0"/>
        <w:spacing w:line="460" w:lineRule="exact"/>
        <w:ind w:firstLine="480" w:firstLineChars="200"/>
        <w:rPr>
          <w:rFonts w:ascii="宋体" w:hAnsi="宋体" w:cs="仿宋"/>
          <w:color w:val="auto"/>
          <w:sz w:val="24"/>
        </w:rPr>
      </w:pPr>
      <w:r>
        <w:rPr>
          <w:rFonts w:ascii="宋体" w:hAnsi="宋体" w:cs="仿宋"/>
          <w:color w:val="auto"/>
          <w:sz w:val="24"/>
        </w:rPr>
        <w:t>7.2</w:t>
      </w:r>
      <w:r>
        <w:rPr>
          <w:rFonts w:hint="eastAsia" w:ascii="宋体" w:hAnsi="宋体" w:cs="仿宋"/>
          <w:color w:val="auto"/>
          <w:sz w:val="24"/>
        </w:rPr>
        <w:t>中标通知书将是合同的一个组成部分。对采购人和中标供应商均具有法律效力。中标通知书发出后，采购人改变中标结果的，或者中标供应商放弃中标项目的，应当依法承担法律责任。</w:t>
      </w:r>
    </w:p>
    <w:p>
      <w:pPr>
        <w:keepNext/>
        <w:keepLines/>
        <w:adjustRightInd w:val="0"/>
        <w:snapToGrid w:val="0"/>
        <w:spacing w:line="460" w:lineRule="exact"/>
        <w:ind w:firstLine="482" w:firstLineChars="200"/>
        <w:outlineLvl w:val="1"/>
        <w:rPr>
          <w:rFonts w:ascii="宋体" w:hAnsi="宋体" w:cs="仿宋"/>
          <w:b/>
          <w:bCs/>
          <w:color w:val="auto"/>
          <w:kern w:val="0"/>
          <w:sz w:val="24"/>
        </w:rPr>
      </w:pPr>
      <w:r>
        <w:rPr>
          <w:rFonts w:hint="eastAsia" w:ascii="宋体" w:hAnsi="宋体" w:cs="仿宋"/>
          <w:b/>
          <w:bCs/>
          <w:color w:val="auto"/>
          <w:kern w:val="0"/>
          <w:sz w:val="24"/>
        </w:rPr>
        <w:t>七、授予合同</w:t>
      </w:r>
      <w:bookmarkEnd w:id="82"/>
    </w:p>
    <w:bookmarkEnd w:id="83"/>
    <w:bookmarkEnd w:id="84"/>
    <w:bookmarkEnd w:id="85"/>
    <w:p>
      <w:pPr>
        <w:keepNext/>
        <w:adjustRightInd w:val="0"/>
        <w:snapToGrid w:val="0"/>
        <w:spacing w:line="460" w:lineRule="exact"/>
        <w:ind w:firstLine="480" w:firstLineChars="200"/>
        <w:rPr>
          <w:rFonts w:ascii="宋体" w:hAnsi="宋体" w:cs="仿宋"/>
          <w:b/>
          <w:color w:val="auto"/>
          <w:kern w:val="0"/>
          <w:sz w:val="24"/>
        </w:rPr>
      </w:pPr>
      <w:bookmarkStart w:id="86" w:name="_Toc513029237"/>
      <w:bookmarkStart w:id="87" w:name="_Toc20823309"/>
      <w:bookmarkStart w:id="88" w:name="_Toc16938553"/>
      <w:r>
        <w:rPr>
          <w:rFonts w:hint="eastAsia" w:ascii="宋体" w:hAnsi="宋体" w:cs="仿宋"/>
          <w:color w:val="auto"/>
          <w:kern w:val="0"/>
          <w:sz w:val="24"/>
        </w:rPr>
        <w:t>1.签订合同</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bCs/>
          <w:color w:val="auto"/>
          <w:sz w:val="24"/>
        </w:rPr>
        <w:t>1</w:t>
      </w:r>
      <w:r>
        <w:rPr>
          <w:rFonts w:hint="eastAsia" w:ascii="宋体" w:hAnsi="宋体" w:cs="仿宋"/>
          <w:color w:val="auto"/>
          <w:sz w:val="24"/>
        </w:rPr>
        <w:t>.l中标供应商应当在中标通知书发出之日起三十日内，按照招标文件确定的事项与采购人签订政府采购合同。</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1.2招标文件、中标供应商的响应文件及投标过程中有关澄清、承诺文件均应作为合同附件。</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1.3签订合同后，中标供应商不得将货物及其他相关服务进行转包。未经采购人同意，中标供应商也不得采用分包的形式履行合同，否则采购人有权终止合同，中标供应商的履约保证金将不予退还。政府采购合同分包履行的，中标供应商就采购项目和分包项目向采购人负责，分包供应商就分包项目承担责任。转包或分包造成采购人损失的，中标供应商应承担相应赔偿责任。</w:t>
      </w:r>
    </w:p>
    <w:p>
      <w:pPr>
        <w:keepNext/>
        <w:adjustRightInd w:val="0"/>
        <w:snapToGrid w:val="0"/>
        <w:spacing w:line="460" w:lineRule="exact"/>
        <w:ind w:firstLine="480" w:firstLineChars="200"/>
        <w:rPr>
          <w:rFonts w:ascii="宋体" w:hAnsi="宋体" w:cs="仿宋"/>
          <w:b/>
          <w:color w:val="auto"/>
          <w:kern w:val="0"/>
          <w:sz w:val="24"/>
        </w:rPr>
      </w:pPr>
      <w:r>
        <w:rPr>
          <w:rFonts w:hint="eastAsia" w:ascii="宋体" w:hAnsi="宋体" w:cs="仿宋"/>
          <w:color w:val="auto"/>
          <w:kern w:val="0"/>
          <w:sz w:val="24"/>
        </w:rPr>
        <w:t>2.货物和服务的追加、减少和添购。</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2.1政府采购合同履行中，采购人需追加与合同标的相同的货物和服务的，在不改变合同其他条款的前提下，可以与中标供应商协商签订补充合同，但所有补充合同的采购金额不超过原合同金额10%。</w:t>
      </w:r>
    </w:p>
    <w:p>
      <w:pPr>
        <w:keepNext/>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sz w:val="24"/>
        </w:rPr>
        <w:t>2.2采购结束后，采购人若由于各种客观原因，必须对采购项目所牵涉的货物和服务进行适当的减少时，在双方协商一致的前提下，可以按照采购时的价格水平做相应的调减，并据此签订补充合同。</w:t>
      </w:r>
    </w:p>
    <w:p>
      <w:pPr>
        <w:adjustRightInd w:val="0"/>
        <w:snapToGrid w:val="0"/>
        <w:spacing w:line="500" w:lineRule="exact"/>
        <w:rPr>
          <w:rFonts w:ascii="宋体" w:hAnsi="宋体" w:cs="仿宋"/>
          <w:b/>
          <w:color w:val="auto"/>
          <w:sz w:val="24"/>
        </w:rPr>
      </w:pPr>
    </w:p>
    <w:bookmarkEnd w:id="86"/>
    <w:bookmarkEnd w:id="87"/>
    <w:bookmarkEnd w:id="88"/>
    <w:p>
      <w:pPr>
        <w:adjustRightInd w:val="0"/>
        <w:snapToGrid w:val="0"/>
        <w:spacing w:line="500" w:lineRule="exact"/>
        <w:jc w:val="center"/>
        <w:outlineLvl w:val="0"/>
        <w:rPr>
          <w:rFonts w:ascii="宋体" w:hAnsi="宋体" w:cs="仿宋"/>
          <w:color w:val="auto"/>
          <w:sz w:val="28"/>
          <w:szCs w:val="28"/>
        </w:rPr>
      </w:pPr>
      <w:r>
        <w:rPr>
          <w:rFonts w:hint="eastAsia" w:ascii="宋体" w:hAnsi="宋体" w:cs="仿宋"/>
          <w:bCs/>
          <w:color w:val="auto"/>
          <w:sz w:val="36"/>
          <w:szCs w:val="36"/>
        </w:rPr>
        <w:br w:type="page"/>
      </w:r>
      <w:r>
        <w:rPr>
          <w:rFonts w:hint="eastAsia" w:ascii="宋体" w:hAnsi="宋体" w:cs="仿宋"/>
          <w:bCs/>
          <w:color w:val="auto"/>
          <w:sz w:val="36"/>
          <w:szCs w:val="36"/>
        </w:rPr>
        <w:t>第三部分  项目需求</w:t>
      </w:r>
    </w:p>
    <w:p>
      <w:pPr>
        <w:spacing w:line="460" w:lineRule="exact"/>
        <w:ind w:firstLine="482" w:firstLineChars="200"/>
        <w:rPr>
          <w:rFonts w:ascii="宋体" w:hAnsi="宋体" w:cs="宋体"/>
          <w:b/>
          <w:bCs/>
          <w:color w:val="auto"/>
          <w:sz w:val="24"/>
        </w:rPr>
      </w:pPr>
      <w:r>
        <w:rPr>
          <w:rFonts w:hint="eastAsia" w:ascii="宋体" w:hAnsi="宋体" w:cs="宋体"/>
          <w:b/>
          <w:bCs/>
          <w:color w:val="auto"/>
          <w:sz w:val="24"/>
        </w:rPr>
        <w:t>投标人在制作投标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pPr>
        <w:snapToGrid w:val="0"/>
        <w:spacing w:line="500" w:lineRule="exact"/>
        <w:rPr>
          <w:rFonts w:ascii="宋体" w:hAnsi="宋体" w:cs="宋体"/>
          <w:color w:val="auto"/>
          <w:sz w:val="24"/>
        </w:rPr>
      </w:pPr>
      <w:r>
        <w:rPr>
          <w:rFonts w:hint="eastAsia" w:ascii="宋体" w:hAnsi="宋体" w:cs="宋体"/>
          <w:color w:val="auto"/>
          <w:sz w:val="24"/>
        </w:rPr>
        <w:t>一、项目需求</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1、在约定期限内派专业人员进入我单位指定场所，为我单位提供文书档案整理服务工作，并对整体质量负责；</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严格按照国家标准及档案整理规范进行整理。项目需执行的国家相关标准、行业标准、地方标准或者其他标准、规范：《中华人民共和国档案法》；《中华人民共和国保守国家秘密法》；《中华人民共和国档案法实施办法》；《文书档案案卷格式》（GB9705-2008）；《归档文件整理规则》（中华人民共和国档案行业标准DA/T22-2015）；《文书档案文件级目录数据库结构与著录细则》DB34/T450-2004）；《电子文件归档与电子档案管理规范》（GB/T18894-2016）；《南通市文书档案电子目录录入要求》；《纸质档案数字化技术规范》（DA/T 31-2005）；《档案数字化转化操作规程》（DB32/T1894-2011）；南通市档案馆《关于纸质档案全文数字化处理要求》；</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3、项目清单</w:t>
      </w:r>
    </w:p>
    <w:tbl>
      <w:tblPr>
        <w:tblStyle w:val="25"/>
        <w:tblW w:w="6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0"/>
        <w:gridCol w:w="980"/>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0" w:type="dxa"/>
            <w:vAlign w:val="center"/>
          </w:tcPr>
          <w:p>
            <w:pPr>
              <w:widowControl/>
              <w:wordWrap w:val="0"/>
              <w:jc w:val="left"/>
              <w:rPr>
                <w:rFonts w:ascii="宋体" w:hAnsi="宋体" w:cs="宋体"/>
                <w:color w:val="auto"/>
                <w:sz w:val="24"/>
                <w:shd w:val="clear" w:color="auto" w:fill="FFFFFF"/>
              </w:rPr>
            </w:pPr>
            <w:r>
              <w:rPr>
                <w:rFonts w:hint="eastAsia" w:ascii="宋体" w:hAnsi="宋体" w:cs="宋体"/>
                <w:color w:val="auto"/>
                <w:kern w:val="0"/>
                <w:sz w:val="24"/>
              </w:rPr>
              <w:t>服务内容</w:t>
            </w:r>
          </w:p>
        </w:tc>
        <w:tc>
          <w:tcPr>
            <w:tcW w:w="980" w:type="dxa"/>
            <w:vAlign w:val="center"/>
          </w:tcPr>
          <w:p>
            <w:pPr>
              <w:pStyle w:val="20"/>
              <w:wordWrap w:val="0"/>
              <w:spacing w:before="0" w:beforeAutospacing="0" w:after="75" w:afterAutospacing="0" w:line="525" w:lineRule="atLeast"/>
              <w:jc w:val="center"/>
              <w:rPr>
                <w:color w:val="auto"/>
                <w:shd w:val="clear" w:color="auto" w:fill="FFFFFF"/>
              </w:rPr>
            </w:pPr>
            <w:r>
              <w:rPr>
                <w:rFonts w:hint="eastAsia"/>
                <w:color w:val="auto"/>
              </w:rPr>
              <w:t>单位</w:t>
            </w:r>
          </w:p>
        </w:tc>
        <w:tc>
          <w:tcPr>
            <w:tcW w:w="922" w:type="dxa"/>
            <w:vAlign w:val="center"/>
          </w:tcPr>
          <w:p>
            <w:pPr>
              <w:pStyle w:val="20"/>
              <w:wordWrap w:val="0"/>
              <w:spacing w:before="0" w:beforeAutospacing="0" w:after="75" w:afterAutospacing="0" w:line="525" w:lineRule="atLeast"/>
              <w:jc w:val="center"/>
              <w:rPr>
                <w:color w:val="auto"/>
                <w:shd w:val="clear" w:color="auto" w:fill="FFFFFF"/>
              </w:rPr>
            </w:pPr>
            <w:r>
              <w:rPr>
                <w:rFonts w:hint="eastAsia"/>
                <w:color w:val="auto"/>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0" w:type="dxa"/>
            <w:vAlign w:val="center"/>
          </w:tcPr>
          <w:p>
            <w:pPr>
              <w:widowControl/>
              <w:wordWrap w:val="0"/>
              <w:jc w:val="left"/>
              <w:rPr>
                <w:rFonts w:ascii="宋体" w:hAnsi="宋体" w:cs="宋体"/>
                <w:color w:val="auto"/>
                <w:sz w:val="24"/>
                <w:shd w:val="clear" w:color="auto" w:fill="FFFFFF"/>
              </w:rPr>
            </w:pPr>
            <w:bookmarkStart w:id="89" w:name="OLE_LINK1"/>
            <w:r>
              <w:rPr>
                <w:rFonts w:hint="eastAsia" w:ascii="宋体" w:hAnsi="宋体" w:cs="宋体"/>
                <w:color w:val="auto"/>
                <w:kern w:val="0"/>
                <w:sz w:val="24"/>
              </w:rPr>
              <w:t>2024以前部分未归档文书档案整理</w:t>
            </w:r>
            <w:bookmarkEnd w:id="89"/>
            <w:r>
              <w:rPr>
                <w:rFonts w:hint="eastAsia" w:ascii="宋体" w:hAnsi="宋体" w:cs="宋体"/>
                <w:color w:val="auto"/>
                <w:kern w:val="0"/>
                <w:sz w:val="24"/>
              </w:rPr>
              <w:t>（形成档案目录清单）</w:t>
            </w:r>
          </w:p>
        </w:tc>
        <w:tc>
          <w:tcPr>
            <w:tcW w:w="980" w:type="dxa"/>
            <w:vAlign w:val="center"/>
          </w:tcPr>
          <w:p>
            <w:pPr>
              <w:pStyle w:val="20"/>
              <w:wordWrap w:val="0"/>
              <w:spacing w:before="0" w:beforeAutospacing="0" w:after="75" w:afterAutospacing="0" w:line="525" w:lineRule="atLeast"/>
              <w:jc w:val="center"/>
              <w:rPr>
                <w:color w:val="auto"/>
                <w:shd w:val="clear" w:color="auto" w:fill="FFFFFF"/>
              </w:rPr>
            </w:pPr>
            <w:r>
              <w:rPr>
                <w:rFonts w:hint="eastAsia"/>
                <w:color w:val="auto"/>
                <w:shd w:val="clear" w:color="auto" w:fill="FFFFFF"/>
              </w:rPr>
              <w:t>份</w:t>
            </w:r>
          </w:p>
        </w:tc>
        <w:tc>
          <w:tcPr>
            <w:tcW w:w="922" w:type="dxa"/>
            <w:vAlign w:val="center"/>
          </w:tcPr>
          <w:p>
            <w:pPr>
              <w:pStyle w:val="20"/>
              <w:wordWrap w:val="0"/>
              <w:spacing w:before="0" w:beforeAutospacing="0" w:after="75" w:afterAutospacing="0" w:line="525" w:lineRule="atLeast"/>
              <w:jc w:val="center"/>
              <w:rPr>
                <w:color w:val="auto"/>
                <w:shd w:val="clear" w:color="auto" w:fill="FFFFFF"/>
              </w:rPr>
            </w:pPr>
            <w:r>
              <w:rPr>
                <w:rFonts w:hint="eastAsia"/>
                <w:color w:val="auto"/>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0" w:type="dxa"/>
            <w:vAlign w:val="center"/>
          </w:tcPr>
          <w:p>
            <w:pPr>
              <w:pStyle w:val="20"/>
              <w:wordWrap w:val="0"/>
              <w:spacing w:before="0" w:beforeAutospacing="0" w:after="75" w:afterAutospacing="0" w:line="525" w:lineRule="atLeast"/>
              <w:rPr>
                <w:color w:val="auto"/>
                <w:shd w:val="clear" w:color="auto" w:fill="FFFFFF"/>
              </w:rPr>
            </w:pPr>
            <w:bookmarkStart w:id="90" w:name="OLE_LINK2"/>
            <w:r>
              <w:rPr>
                <w:rFonts w:hint="eastAsia"/>
                <w:color w:val="auto"/>
              </w:rPr>
              <w:t>2024年度文书档案整理（按三合一标准）</w:t>
            </w:r>
            <w:bookmarkEnd w:id="90"/>
          </w:p>
        </w:tc>
        <w:tc>
          <w:tcPr>
            <w:tcW w:w="980" w:type="dxa"/>
            <w:vAlign w:val="center"/>
          </w:tcPr>
          <w:p>
            <w:pPr>
              <w:pStyle w:val="20"/>
              <w:wordWrap w:val="0"/>
              <w:spacing w:before="0" w:beforeAutospacing="0" w:after="75" w:afterAutospacing="0" w:line="525" w:lineRule="atLeast"/>
              <w:jc w:val="center"/>
              <w:rPr>
                <w:color w:val="auto"/>
                <w:shd w:val="clear" w:color="auto" w:fill="FFFFFF"/>
              </w:rPr>
            </w:pPr>
            <w:r>
              <w:rPr>
                <w:rFonts w:hint="eastAsia"/>
                <w:color w:val="auto"/>
              </w:rPr>
              <w:t>米</w:t>
            </w:r>
          </w:p>
        </w:tc>
        <w:tc>
          <w:tcPr>
            <w:tcW w:w="922" w:type="dxa"/>
            <w:vAlign w:val="center"/>
          </w:tcPr>
          <w:p>
            <w:pPr>
              <w:pStyle w:val="20"/>
              <w:wordWrap w:val="0"/>
              <w:spacing w:before="0" w:beforeAutospacing="0" w:after="75" w:afterAutospacing="0" w:line="525" w:lineRule="atLeast"/>
              <w:jc w:val="center"/>
              <w:rPr>
                <w:color w:val="auto"/>
                <w:shd w:val="clear" w:color="auto" w:fill="FFFFFF"/>
              </w:rPr>
            </w:pPr>
            <w:r>
              <w:rPr>
                <w:rFonts w:hint="eastAsia"/>
                <w:color w:val="aut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0" w:type="dxa"/>
            <w:vAlign w:val="center"/>
          </w:tcPr>
          <w:p>
            <w:pPr>
              <w:pStyle w:val="20"/>
              <w:wordWrap w:val="0"/>
              <w:spacing w:before="0" w:beforeAutospacing="0" w:after="75" w:afterAutospacing="0" w:line="525" w:lineRule="atLeast"/>
              <w:rPr>
                <w:color w:val="auto"/>
                <w:shd w:val="clear" w:color="auto" w:fill="FFFFFF"/>
              </w:rPr>
            </w:pPr>
            <w:bookmarkStart w:id="91" w:name="OLE_LINK3"/>
            <w:r>
              <w:rPr>
                <w:rFonts w:hint="eastAsia"/>
                <w:color w:val="auto"/>
              </w:rPr>
              <w:t>业务档案等相关资料</w:t>
            </w:r>
            <w:bookmarkEnd w:id="91"/>
          </w:p>
        </w:tc>
        <w:tc>
          <w:tcPr>
            <w:tcW w:w="980" w:type="dxa"/>
            <w:vAlign w:val="center"/>
          </w:tcPr>
          <w:p>
            <w:pPr>
              <w:pStyle w:val="20"/>
              <w:wordWrap w:val="0"/>
              <w:spacing w:before="0" w:beforeAutospacing="0" w:after="75" w:afterAutospacing="0" w:line="525" w:lineRule="atLeast"/>
              <w:jc w:val="center"/>
              <w:rPr>
                <w:color w:val="auto"/>
                <w:shd w:val="clear" w:color="auto" w:fill="FFFFFF"/>
              </w:rPr>
            </w:pPr>
            <w:r>
              <w:rPr>
                <w:rFonts w:hint="eastAsia"/>
                <w:color w:val="auto"/>
              </w:rPr>
              <w:t>米</w:t>
            </w:r>
          </w:p>
        </w:tc>
        <w:tc>
          <w:tcPr>
            <w:tcW w:w="922" w:type="dxa"/>
            <w:vAlign w:val="center"/>
          </w:tcPr>
          <w:p>
            <w:pPr>
              <w:pStyle w:val="20"/>
              <w:wordWrap w:val="0"/>
              <w:spacing w:before="0" w:beforeAutospacing="0" w:after="75" w:afterAutospacing="0" w:line="525" w:lineRule="atLeast"/>
              <w:jc w:val="center"/>
              <w:rPr>
                <w:color w:val="auto"/>
                <w:shd w:val="clear" w:color="auto" w:fill="FFFFFF"/>
              </w:rPr>
            </w:pPr>
            <w:r>
              <w:rPr>
                <w:rFonts w:hint="eastAsia"/>
                <w:color w:va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0" w:type="dxa"/>
            <w:vAlign w:val="center"/>
          </w:tcPr>
          <w:p>
            <w:pPr>
              <w:pStyle w:val="20"/>
              <w:wordWrap w:val="0"/>
              <w:spacing w:before="0" w:beforeAutospacing="0" w:after="75" w:afterAutospacing="0" w:line="525" w:lineRule="atLeast"/>
              <w:rPr>
                <w:color w:val="auto"/>
                <w:shd w:val="clear" w:color="auto" w:fill="FFFFFF"/>
              </w:rPr>
            </w:pPr>
            <w:bookmarkStart w:id="92" w:name="OLE_LINK4"/>
            <w:r>
              <w:rPr>
                <w:rFonts w:hint="eastAsia"/>
                <w:color w:val="auto"/>
              </w:rPr>
              <w:t>检索工具（归档文件目录、案卷目录）打印装订</w:t>
            </w:r>
            <w:bookmarkEnd w:id="92"/>
          </w:p>
        </w:tc>
        <w:tc>
          <w:tcPr>
            <w:tcW w:w="980" w:type="dxa"/>
            <w:vAlign w:val="center"/>
          </w:tcPr>
          <w:p>
            <w:pPr>
              <w:pStyle w:val="20"/>
              <w:wordWrap w:val="0"/>
              <w:spacing w:before="0" w:beforeAutospacing="0" w:after="75" w:afterAutospacing="0" w:line="525" w:lineRule="atLeast"/>
              <w:jc w:val="center"/>
              <w:rPr>
                <w:color w:val="auto"/>
                <w:shd w:val="clear" w:color="auto" w:fill="FFFFFF"/>
              </w:rPr>
            </w:pPr>
            <w:r>
              <w:rPr>
                <w:rFonts w:hint="eastAsia"/>
                <w:color w:val="auto"/>
              </w:rPr>
              <w:t>本</w:t>
            </w:r>
          </w:p>
        </w:tc>
        <w:tc>
          <w:tcPr>
            <w:tcW w:w="922" w:type="dxa"/>
            <w:vAlign w:val="center"/>
          </w:tcPr>
          <w:p>
            <w:pPr>
              <w:pStyle w:val="20"/>
              <w:wordWrap w:val="0"/>
              <w:spacing w:before="0" w:beforeAutospacing="0" w:after="75" w:afterAutospacing="0" w:line="525" w:lineRule="atLeast"/>
              <w:jc w:val="center"/>
              <w:rPr>
                <w:color w:val="auto"/>
                <w:shd w:val="clear" w:color="auto" w:fill="FFFFFF"/>
              </w:rPr>
            </w:pPr>
            <w:r>
              <w:rPr>
                <w:rFonts w:hint="eastAsia"/>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0" w:type="dxa"/>
            <w:vAlign w:val="center"/>
          </w:tcPr>
          <w:p>
            <w:pPr>
              <w:pStyle w:val="20"/>
              <w:wordWrap w:val="0"/>
              <w:spacing w:before="0" w:beforeAutospacing="0" w:after="75" w:afterAutospacing="0" w:line="525" w:lineRule="atLeast"/>
              <w:rPr>
                <w:color w:val="auto"/>
                <w:shd w:val="clear" w:color="auto" w:fill="FFFFFF"/>
              </w:rPr>
            </w:pPr>
            <w:bookmarkStart w:id="93" w:name="OLE_LINK5"/>
            <w:r>
              <w:rPr>
                <w:rFonts w:hint="eastAsia"/>
                <w:color w:val="auto"/>
              </w:rPr>
              <w:t>档案数字化处理</w:t>
            </w:r>
            <w:bookmarkEnd w:id="93"/>
          </w:p>
        </w:tc>
        <w:tc>
          <w:tcPr>
            <w:tcW w:w="980" w:type="dxa"/>
            <w:vAlign w:val="center"/>
          </w:tcPr>
          <w:p>
            <w:pPr>
              <w:pStyle w:val="20"/>
              <w:wordWrap w:val="0"/>
              <w:spacing w:before="0" w:beforeAutospacing="0" w:after="75" w:afterAutospacing="0" w:line="525" w:lineRule="atLeast"/>
              <w:jc w:val="center"/>
              <w:rPr>
                <w:color w:val="auto"/>
                <w:shd w:val="clear" w:color="auto" w:fill="FFFFFF"/>
              </w:rPr>
            </w:pPr>
            <w:r>
              <w:rPr>
                <w:rFonts w:hint="eastAsia"/>
                <w:color w:val="auto"/>
              </w:rPr>
              <w:t>页</w:t>
            </w:r>
          </w:p>
        </w:tc>
        <w:tc>
          <w:tcPr>
            <w:tcW w:w="922" w:type="dxa"/>
            <w:vAlign w:val="center"/>
          </w:tcPr>
          <w:p>
            <w:pPr>
              <w:pStyle w:val="20"/>
              <w:wordWrap w:val="0"/>
              <w:spacing w:before="0" w:beforeAutospacing="0" w:after="75" w:afterAutospacing="0" w:line="525" w:lineRule="atLeast"/>
              <w:jc w:val="center"/>
              <w:rPr>
                <w:color w:val="auto"/>
                <w:shd w:val="clear" w:color="auto" w:fill="FFFFFF"/>
              </w:rPr>
            </w:pPr>
            <w:r>
              <w:rPr>
                <w:rFonts w:hint="eastAsia"/>
                <w:color w:val="auto"/>
              </w:rPr>
              <w:t>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0" w:type="dxa"/>
            <w:vAlign w:val="center"/>
          </w:tcPr>
          <w:p>
            <w:pPr>
              <w:pStyle w:val="20"/>
              <w:wordWrap w:val="0"/>
              <w:spacing w:before="0" w:beforeAutospacing="0" w:after="75" w:afterAutospacing="0" w:line="525" w:lineRule="atLeast"/>
              <w:rPr>
                <w:color w:val="auto"/>
                <w:shd w:val="clear" w:color="auto" w:fill="FFFFFF"/>
              </w:rPr>
            </w:pPr>
            <w:bookmarkStart w:id="94" w:name="OLE_LINK6"/>
            <w:r>
              <w:rPr>
                <w:rFonts w:hint="eastAsia"/>
                <w:color w:val="auto"/>
              </w:rPr>
              <w:t>全宗卷</w:t>
            </w:r>
            <w:bookmarkEnd w:id="94"/>
          </w:p>
        </w:tc>
        <w:tc>
          <w:tcPr>
            <w:tcW w:w="980" w:type="dxa"/>
            <w:vAlign w:val="center"/>
          </w:tcPr>
          <w:p>
            <w:pPr>
              <w:pStyle w:val="20"/>
              <w:wordWrap w:val="0"/>
              <w:spacing w:before="0" w:beforeAutospacing="0" w:after="75" w:afterAutospacing="0" w:line="525" w:lineRule="atLeast"/>
              <w:jc w:val="center"/>
              <w:rPr>
                <w:color w:val="auto"/>
                <w:shd w:val="clear" w:color="auto" w:fill="FFFFFF"/>
              </w:rPr>
            </w:pPr>
            <w:r>
              <w:rPr>
                <w:rFonts w:hint="eastAsia"/>
                <w:color w:val="auto"/>
              </w:rPr>
              <w:t>套</w:t>
            </w:r>
          </w:p>
        </w:tc>
        <w:tc>
          <w:tcPr>
            <w:tcW w:w="922" w:type="dxa"/>
            <w:vAlign w:val="center"/>
          </w:tcPr>
          <w:p>
            <w:pPr>
              <w:pStyle w:val="20"/>
              <w:wordWrap w:val="0"/>
              <w:spacing w:before="0" w:beforeAutospacing="0" w:after="75" w:afterAutospacing="0" w:line="525" w:lineRule="atLeast"/>
              <w:jc w:val="center"/>
              <w:rPr>
                <w:color w:val="auto"/>
                <w:shd w:val="clear" w:color="auto" w:fill="FFFFFF"/>
              </w:rPr>
            </w:pPr>
            <w:r>
              <w:rPr>
                <w:rFonts w:hint="eastAsia"/>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0" w:type="dxa"/>
            <w:vAlign w:val="center"/>
          </w:tcPr>
          <w:p>
            <w:pPr>
              <w:pStyle w:val="20"/>
              <w:wordWrap w:val="0"/>
              <w:spacing w:before="0" w:beforeAutospacing="0" w:after="75" w:afterAutospacing="0" w:line="525" w:lineRule="atLeast"/>
              <w:rPr>
                <w:color w:val="auto"/>
                <w:shd w:val="clear" w:color="auto" w:fill="FFFFFF"/>
              </w:rPr>
            </w:pPr>
            <w:bookmarkStart w:id="95" w:name="OLE_LINK7"/>
            <w:r>
              <w:rPr>
                <w:rFonts w:hint="eastAsia"/>
                <w:color w:val="auto"/>
              </w:rPr>
              <w:t>档案材料（档案封面、档案盒、档案标签案卷目录夹、归档文件目录夹、存放柜标签等）</w:t>
            </w:r>
            <w:bookmarkEnd w:id="95"/>
          </w:p>
        </w:tc>
        <w:tc>
          <w:tcPr>
            <w:tcW w:w="980" w:type="dxa"/>
            <w:vAlign w:val="center"/>
          </w:tcPr>
          <w:p>
            <w:pPr>
              <w:widowControl/>
              <w:wordWrap w:val="0"/>
              <w:jc w:val="center"/>
              <w:rPr>
                <w:rFonts w:ascii="宋体" w:hAnsi="宋体" w:cs="宋体"/>
                <w:color w:val="auto"/>
                <w:sz w:val="24"/>
                <w:shd w:val="clear" w:color="auto" w:fill="FFFFFF"/>
              </w:rPr>
            </w:pPr>
            <w:r>
              <w:rPr>
                <w:rFonts w:hint="eastAsia" w:ascii="宋体" w:hAnsi="宋体" w:cs="宋体"/>
                <w:color w:val="auto"/>
                <w:sz w:val="24"/>
              </w:rPr>
              <w:t>套</w:t>
            </w:r>
          </w:p>
        </w:tc>
        <w:tc>
          <w:tcPr>
            <w:tcW w:w="922" w:type="dxa"/>
            <w:vAlign w:val="center"/>
          </w:tcPr>
          <w:p>
            <w:pPr>
              <w:pStyle w:val="20"/>
              <w:wordWrap w:val="0"/>
              <w:spacing w:before="0" w:beforeAutospacing="0" w:after="75" w:afterAutospacing="0" w:line="525" w:lineRule="atLeast"/>
              <w:jc w:val="center"/>
              <w:rPr>
                <w:color w:val="auto"/>
                <w:shd w:val="clear" w:color="auto" w:fill="FFFFFF"/>
              </w:rPr>
            </w:pPr>
            <w:r>
              <w:rPr>
                <w:rFonts w:hint="eastAsia"/>
                <w:color w:val="auto"/>
              </w:rPr>
              <w:t>1</w:t>
            </w:r>
          </w:p>
        </w:tc>
      </w:tr>
    </w:tbl>
    <w:p>
      <w:pPr>
        <w:snapToGrid w:val="0"/>
        <w:spacing w:line="500" w:lineRule="exact"/>
        <w:rPr>
          <w:rFonts w:ascii="宋体" w:hAnsi="宋体" w:cs="宋体"/>
          <w:color w:val="auto"/>
          <w:sz w:val="24"/>
        </w:rPr>
      </w:pP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4、在正式合同签订后三月内完成文书档案整理工作；</w:t>
      </w:r>
    </w:p>
    <w:p>
      <w:pPr>
        <w:snapToGrid w:val="0"/>
        <w:spacing w:line="500" w:lineRule="exact"/>
        <w:rPr>
          <w:rFonts w:ascii="宋体" w:hAnsi="宋体" w:cs="宋体"/>
          <w:color w:val="auto"/>
          <w:sz w:val="24"/>
        </w:rPr>
      </w:pPr>
      <w:r>
        <w:rPr>
          <w:rFonts w:hint="eastAsia" w:ascii="宋体" w:hAnsi="宋体" w:cs="宋体"/>
          <w:color w:val="auto"/>
          <w:sz w:val="24"/>
        </w:rPr>
        <w:t>二、安全保密工作要求　　</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1、中标方需与招标方签订保证档案实体和档案信息安全的保密协议，不得截留和向第三方泄露所涉及档案、资料的内容、信息及最终形成的各类数据，确保档案信息的安全保密，若有违反，依据《中华人民共和国档案法》、《中华人民共和国保守国家秘密法》追究责任。　</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2、档案数字化加工后的各种影像、资料所有权属于招标单位，各种统计资料、影像资料、光盘资料、纸质资料及各种清单等在项目结束时都必须完整地向招标单位移交。　</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3、现场工作人员不得以任何形式将各项档案资料带出指定工作现场，不得以任何形式进行泄漏、传播;不得无故查看及讨论档案内容。</w:t>
      </w:r>
    </w:p>
    <w:p>
      <w:pPr>
        <w:adjustRightInd w:val="0"/>
        <w:snapToGrid w:val="0"/>
        <w:spacing w:line="500" w:lineRule="exact"/>
        <w:ind w:firstLine="479" w:firstLineChars="199"/>
        <w:contextualSpacing/>
        <w:rPr>
          <w:rFonts w:ascii="宋体" w:hAnsi="宋体" w:cs="宋体"/>
          <w:b/>
          <w:bCs/>
          <w:color w:val="auto"/>
          <w:sz w:val="24"/>
        </w:rPr>
      </w:pPr>
      <w:r>
        <w:rPr>
          <w:rFonts w:hint="eastAsia" w:ascii="宋体" w:hAnsi="宋体" w:cs="宋体"/>
          <w:b/>
          <w:bCs/>
          <w:color w:val="auto"/>
          <w:sz w:val="24"/>
        </w:rPr>
        <w:t>七、付款方式</w:t>
      </w:r>
    </w:p>
    <w:p>
      <w:pPr>
        <w:snapToGrid w:val="0"/>
        <w:spacing w:line="500" w:lineRule="exact"/>
        <w:ind w:firstLine="482" w:firstLineChars="200"/>
        <w:rPr>
          <w:rFonts w:ascii="宋体" w:hAnsi="宋体" w:cs="宋体"/>
          <w:b/>
          <w:color w:val="auto"/>
          <w:sz w:val="24"/>
        </w:rPr>
      </w:pPr>
      <w:r>
        <w:rPr>
          <w:rFonts w:hint="eastAsia" w:ascii="宋体" w:hAnsi="宋体" w:cs="宋体"/>
          <w:b/>
          <w:color w:val="auto"/>
          <w:sz w:val="24"/>
        </w:rPr>
        <w:t>【特别提醒】付款方式不接受负偏离及任何意图改变付款方式的意图表达，否则作无效响应处理。</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1.项目完成并通过甲方验收合格后一次性支付合同所有款项；                                 </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2.最终的结算方式，以双方就本项目服务而签订的采购合同为准。</w:t>
      </w:r>
    </w:p>
    <w:p>
      <w:pPr>
        <w:spacing w:line="360" w:lineRule="auto"/>
        <w:rPr>
          <w:rFonts w:ascii="宋体" w:hAnsi="宋体"/>
          <w:b/>
          <w:bCs/>
          <w:color w:val="auto"/>
          <w:sz w:val="28"/>
          <w:szCs w:val="28"/>
        </w:rPr>
      </w:pPr>
    </w:p>
    <w:p>
      <w:pPr>
        <w:spacing w:line="360" w:lineRule="auto"/>
        <w:ind w:firstLine="480" w:firstLineChars="200"/>
        <w:rPr>
          <w:color w:val="auto"/>
          <w:sz w:val="24"/>
        </w:rPr>
      </w:pPr>
    </w:p>
    <w:p>
      <w:pPr>
        <w:rPr>
          <w:rFonts w:ascii="宋体" w:hAnsi="宋体" w:cs="宋体"/>
          <w:bCs/>
          <w:color w:val="auto"/>
          <w:sz w:val="24"/>
        </w:rPr>
      </w:pPr>
      <w:r>
        <w:rPr>
          <w:rFonts w:hint="eastAsia" w:ascii="宋体" w:hAnsi="宋体" w:cs="宋体"/>
          <w:bCs/>
          <w:color w:val="auto"/>
          <w:sz w:val="24"/>
        </w:rPr>
        <w:br w:type="page"/>
      </w:r>
    </w:p>
    <w:p>
      <w:pPr>
        <w:pStyle w:val="23"/>
        <w:ind w:firstLine="420"/>
        <w:rPr>
          <w:color w:val="auto"/>
        </w:rPr>
      </w:pPr>
    </w:p>
    <w:p>
      <w:pPr>
        <w:adjustRightInd w:val="0"/>
        <w:snapToGrid w:val="0"/>
        <w:spacing w:line="500" w:lineRule="exact"/>
        <w:jc w:val="center"/>
        <w:outlineLvl w:val="0"/>
        <w:rPr>
          <w:rFonts w:ascii="宋体" w:hAnsi="宋体" w:cs="仿宋"/>
          <w:bCs/>
          <w:color w:val="auto"/>
          <w:sz w:val="36"/>
          <w:szCs w:val="36"/>
        </w:rPr>
      </w:pPr>
      <w:r>
        <w:rPr>
          <w:rFonts w:hint="eastAsia" w:ascii="宋体" w:hAnsi="宋体" w:cs="仿宋"/>
          <w:bCs/>
          <w:color w:val="auto"/>
          <w:sz w:val="36"/>
          <w:szCs w:val="36"/>
        </w:rPr>
        <w:t>第四部分 评审方法和评审标准</w:t>
      </w:r>
    </w:p>
    <w:p>
      <w:pPr>
        <w:adjustRightInd w:val="0"/>
        <w:snapToGrid w:val="0"/>
        <w:spacing w:line="500" w:lineRule="exact"/>
        <w:ind w:firstLine="482" w:firstLineChars="200"/>
        <w:jc w:val="left"/>
        <w:textAlignment w:val="baseline"/>
        <w:rPr>
          <w:rFonts w:ascii="宋体" w:hAnsi="宋体" w:cs="仿宋"/>
          <w:b/>
          <w:color w:val="auto"/>
          <w:sz w:val="24"/>
        </w:rPr>
      </w:pPr>
    </w:p>
    <w:p>
      <w:pPr>
        <w:snapToGrid w:val="0"/>
        <w:spacing w:line="360" w:lineRule="auto"/>
        <w:ind w:firstLine="482" w:firstLineChars="200"/>
        <w:outlineLvl w:val="1"/>
        <w:rPr>
          <w:b/>
          <w:color w:val="auto"/>
          <w:kern w:val="0"/>
          <w:sz w:val="24"/>
        </w:rPr>
      </w:pPr>
      <w:r>
        <w:rPr>
          <w:rFonts w:hint="eastAsia"/>
          <w:b/>
          <w:color w:val="auto"/>
          <w:kern w:val="0"/>
          <w:sz w:val="24"/>
        </w:rPr>
        <w:t>一</w:t>
      </w:r>
      <w:r>
        <w:rPr>
          <w:b/>
          <w:color w:val="auto"/>
          <w:kern w:val="0"/>
          <w:sz w:val="24"/>
        </w:rPr>
        <w:t>、评审原则</w:t>
      </w:r>
    </w:p>
    <w:p>
      <w:pPr>
        <w:snapToGrid w:val="0"/>
        <w:spacing w:line="360" w:lineRule="auto"/>
        <w:ind w:firstLine="484" w:firstLineChars="202"/>
        <w:rPr>
          <w:color w:val="auto"/>
          <w:kern w:val="0"/>
          <w:sz w:val="24"/>
        </w:rPr>
      </w:pPr>
      <w:r>
        <w:rPr>
          <w:color w:val="auto"/>
          <w:kern w:val="0"/>
          <w:sz w:val="24"/>
        </w:rPr>
        <w:t>1、本项目采用</w:t>
      </w:r>
      <w:r>
        <w:rPr>
          <w:color w:val="auto"/>
          <w:kern w:val="0"/>
          <w:sz w:val="24"/>
          <w:u w:val="single"/>
        </w:rPr>
        <w:t xml:space="preserve">  </w:t>
      </w:r>
      <w:r>
        <w:rPr>
          <w:b/>
          <w:color w:val="auto"/>
          <w:kern w:val="0"/>
          <w:sz w:val="24"/>
          <w:u w:val="single"/>
        </w:rPr>
        <w:t>综合评分法</w:t>
      </w:r>
      <w:r>
        <w:rPr>
          <w:color w:val="auto"/>
          <w:kern w:val="0"/>
          <w:sz w:val="24"/>
          <w:u w:val="single"/>
        </w:rPr>
        <w:t xml:space="preserve">  </w:t>
      </w:r>
      <w:r>
        <w:rPr>
          <w:color w:val="auto"/>
          <w:kern w:val="0"/>
          <w:sz w:val="24"/>
        </w:rPr>
        <w:t>，即指在最大限度地满足招标文件实质性要求的前提下，按照本招标文件中规定的评标办法和评分标准及其他各项因素进行综合评审后，以评标综合得分最高的投标人作为中标候选人的评标方法。</w:t>
      </w:r>
    </w:p>
    <w:p>
      <w:pPr>
        <w:snapToGrid w:val="0"/>
        <w:spacing w:line="360" w:lineRule="auto"/>
        <w:ind w:firstLine="484" w:firstLineChars="202"/>
        <w:rPr>
          <w:color w:val="auto"/>
          <w:kern w:val="0"/>
          <w:sz w:val="24"/>
        </w:rPr>
      </w:pPr>
      <w:r>
        <w:rPr>
          <w:color w:val="auto"/>
          <w:kern w:val="0"/>
          <w:sz w:val="24"/>
        </w:rPr>
        <w:t>2、由评标委员会对资格审查合格的投标人所提供的商务技术标进行评选。</w:t>
      </w:r>
    </w:p>
    <w:p>
      <w:pPr>
        <w:snapToGrid w:val="0"/>
        <w:spacing w:line="360" w:lineRule="auto"/>
        <w:ind w:firstLine="484" w:firstLineChars="202"/>
        <w:rPr>
          <w:color w:val="auto"/>
          <w:kern w:val="0"/>
          <w:sz w:val="24"/>
        </w:rPr>
      </w:pPr>
      <w:r>
        <w:rPr>
          <w:color w:val="auto"/>
          <w:kern w:val="0"/>
          <w:sz w:val="24"/>
        </w:rPr>
        <w:t>3、评标委员会对投标文件的判定，只依据投标内容本身，不依靠开标后的任何外来证明。</w:t>
      </w:r>
    </w:p>
    <w:p>
      <w:pPr>
        <w:snapToGrid w:val="0"/>
        <w:spacing w:line="360" w:lineRule="auto"/>
        <w:ind w:firstLine="482" w:firstLineChars="200"/>
        <w:outlineLvl w:val="1"/>
        <w:rPr>
          <w:b/>
          <w:color w:val="auto"/>
          <w:kern w:val="0"/>
          <w:sz w:val="24"/>
        </w:rPr>
      </w:pPr>
      <w:r>
        <w:rPr>
          <w:rFonts w:hint="eastAsia"/>
          <w:b/>
          <w:color w:val="auto"/>
          <w:kern w:val="0"/>
          <w:sz w:val="24"/>
        </w:rPr>
        <w:t>二</w:t>
      </w:r>
      <w:r>
        <w:rPr>
          <w:b/>
          <w:color w:val="auto"/>
          <w:kern w:val="0"/>
          <w:sz w:val="24"/>
        </w:rPr>
        <w:t>、评审方法</w:t>
      </w:r>
    </w:p>
    <w:p>
      <w:pPr>
        <w:snapToGrid w:val="0"/>
        <w:spacing w:line="360" w:lineRule="auto"/>
        <w:ind w:firstLine="484" w:firstLineChars="202"/>
        <w:rPr>
          <w:color w:val="auto"/>
          <w:kern w:val="0"/>
          <w:sz w:val="24"/>
        </w:rPr>
      </w:pPr>
      <w:r>
        <w:rPr>
          <w:color w:val="auto"/>
          <w:kern w:val="0"/>
          <w:sz w:val="24"/>
        </w:rPr>
        <w:t>1、评标程序：</w:t>
      </w:r>
    </w:p>
    <w:p>
      <w:pPr>
        <w:snapToGrid w:val="0"/>
        <w:spacing w:line="360" w:lineRule="auto"/>
        <w:ind w:firstLine="484" w:firstLineChars="202"/>
        <w:rPr>
          <w:color w:val="auto"/>
          <w:kern w:val="0"/>
          <w:sz w:val="24"/>
        </w:rPr>
      </w:pPr>
      <w:r>
        <w:rPr>
          <w:rFonts w:hint="eastAsia"/>
          <w:color w:val="auto"/>
          <w:kern w:val="0"/>
          <w:sz w:val="24"/>
        </w:rPr>
        <w:t>资格审查</w:t>
      </w:r>
      <w:r>
        <w:rPr>
          <w:rFonts w:hint="eastAsia"/>
          <w:color w:val="auto"/>
          <w:sz w:val="24"/>
        </w:rPr>
        <w:t>→商务技术标评审→价格标评审→</w:t>
      </w:r>
      <w:r>
        <w:rPr>
          <w:rFonts w:hint="eastAsia"/>
          <w:color w:val="auto"/>
          <w:kern w:val="0"/>
          <w:sz w:val="24"/>
        </w:rPr>
        <w:t>推荐中标候选人</w:t>
      </w:r>
      <w:r>
        <w:rPr>
          <w:color w:val="auto"/>
          <w:kern w:val="0"/>
          <w:sz w:val="24"/>
        </w:rPr>
        <w:t>。</w:t>
      </w:r>
    </w:p>
    <w:p>
      <w:pPr>
        <w:snapToGrid w:val="0"/>
        <w:spacing w:line="360" w:lineRule="auto"/>
        <w:ind w:firstLine="484" w:firstLineChars="202"/>
        <w:rPr>
          <w:color w:val="auto"/>
          <w:kern w:val="0"/>
          <w:sz w:val="24"/>
        </w:rPr>
      </w:pPr>
      <w:r>
        <w:rPr>
          <w:color w:val="auto"/>
          <w:kern w:val="0"/>
          <w:sz w:val="24"/>
        </w:rPr>
        <w:t>本次资格审查采用资格后审，各投标人资格审查通过后方能进入评标程序。先评审商务技术标，商务技术标打分结束后再评审价格标。</w:t>
      </w:r>
    </w:p>
    <w:p>
      <w:pPr>
        <w:snapToGrid w:val="0"/>
        <w:spacing w:line="360" w:lineRule="auto"/>
        <w:ind w:firstLine="480" w:firstLineChars="200"/>
        <w:jc w:val="left"/>
        <w:rPr>
          <w:color w:val="auto"/>
          <w:kern w:val="0"/>
          <w:sz w:val="24"/>
        </w:rPr>
      </w:pPr>
      <w:r>
        <w:rPr>
          <w:color w:val="auto"/>
          <w:kern w:val="0"/>
          <w:sz w:val="24"/>
        </w:rPr>
        <w:t>2、评标委员会将仅对按本招标文件载明的方法与规定，为实质上响应招标文件要求的投标文件评审并进行评价和比较。</w:t>
      </w:r>
    </w:p>
    <w:p>
      <w:pPr>
        <w:snapToGrid w:val="0"/>
        <w:spacing w:line="360" w:lineRule="auto"/>
        <w:ind w:firstLine="484" w:firstLineChars="202"/>
        <w:rPr>
          <w:color w:val="auto"/>
          <w:kern w:val="0"/>
          <w:sz w:val="24"/>
        </w:rPr>
      </w:pPr>
      <w:r>
        <w:rPr>
          <w:color w:val="auto"/>
          <w:kern w:val="0"/>
          <w:sz w:val="24"/>
        </w:rPr>
        <w:t>3、本项目的商务技术标和价格标评审总分值为100分。两部分评审因素比重如下：</w:t>
      </w:r>
    </w:p>
    <w:p>
      <w:pPr>
        <w:snapToGrid w:val="0"/>
        <w:spacing w:line="360" w:lineRule="auto"/>
        <w:ind w:firstLine="484" w:firstLineChars="202"/>
        <w:rPr>
          <w:color w:val="auto"/>
          <w:kern w:val="0"/>
          <w:sz w:val="24"/>
        </w:rPr>
      </w:pPr>
      <w:r>
        <w:rPr>
          <w:color w:val="auto"/>
          <w:kern w:val="0"/>
          <w:sz w:val="24"/>
        </w:rPr>
        <w:t>商务技术标分值占总分值的比重为</w:t>
      </w:r>
      <w:r>
        <w:rPr>
          <w:rFonts w:hint="eastAsia"/>
          <w:color w:val="auto"/>
          <w:kern w:val="0"/>
          <w:sz w:val="24"/>
          <w:u w:val="single"/>
        </w:rPr>
        <w:t>60</w:t>
      </w:r>
      <w:r>
        <w:rPr>
          <w:color w:val="auto"/>
          <w:kern w:val="0"/>
          <w:sz w:val="24"/>
          <w:u w:val="single"/>
        </w:rPr>
        <w:t>%</w:t>
      </w:r>
      <w:r>
        <w:rPr>
          <w:color w:val="auto"/>
          <w:kern w:val="0"/>
          <w:sz w:val="24"/>
        </w:rPr>
        <w:t>（权重）（四舍五入保留两位小数）；</w:t>
      </w:r>
    </w:p>
    <w:p>
      <w:pPr>
        <w:snapToGrid w:val="0"/>
        <w:spacing w:line="360" w:lineRule="auto"/>
        <w:ind w:firstLine="484" w:firstLineChars="202"/>
        <w:rPr>
          <w:color w:val="auto"/>
          <w:kern w:val="0"/>
          <w:sz w:val="24"/>
        </w:rPr>
      </w:pPr>
      <w:r>
        <w:rPr>
          <w:color w:val="auto"/>
          <w:kern w:val="0"/>
          <w:sz w:val="24"/>
        </w:rPr>
        <w:t>报价分值占总分值的比重为</w:t>
      </w:r>
      <w:r>
        <w:rPr>
          <w:rFonts w:hint="eastAsia"/>
          <w:color w:val="auto"/>
          <w:kern w:val="0"/>
          <w:sz w:val="24"/>
          <w:u w:val="single"/>
        </w:rPr>
        <w:t>40</w:t>
      </w:r>
      <w:r>
        <w:rPr>
          <w:color w:val="auto"/>
          <w:kern w:val="0"/>
          <w:sz w:val="24"/>
          <w:u w:val="single"/>
        </w:rPr>
        <w:t>%</w:t>
      </w:r>
      <w:r>
        <w:rPr>
          <w:color w:val="auto"/>
          <w:kern w:val="0"/>
          <w:sz w:val="24"/>
        </w:rPr>
        <w:t>（权重）（四舍五入保留两位小数）。</w:t>
      </w:r>
    </w:p>
    <w:p>
      <w:pPr>
        <w:snapToGrid w:val="0"/>
        <w:spacing w:line="360" w:lineRule="auto"/>
        <w:ind w:firstLine="484" w:firstLineChars="202"/>
        <w:rPr>
          <w:color w:val="auto"/>
          <w:kern w:val="0"/>
          <w:sz w:val="24"/>
        </w:rPr>
      </w:pPr>
      <w:r>
        <w:rPr>
          <w:color w:val="auto"/>
          <w:kern w:val="0"/>
          <w:sz w:val="24"/>
        </w:rPr>
        <w:t>4、评标委员会严格按照招标文件的要求、条件、评分标准，对投标人所提供货物或服务的先进性、可靠性、售后服务承诺、质量保证承诺等实质性响应内容进行比较。</w:t>
      </w:r>
    </w:p>
    <w:p>
      <w:pPr>
        <w:snapToGrid w:val="0"/>
        <w:spacing w:line="360" w:lineRule="auto"/>
        <w:ind w:firstLine="484" w:firstLineChars="202"/>
        <w:rPr>
          <w:color w:val="auto"/>
          <w:kern w:val="0"/>
          <w:sz w:val="24"/>
        </w:rPr>
      </w:pPr>
      <w:r>
        <w:rPr>
          <w:color w:val="auto"/>
          <w:kern w:val="0"/>
          <w:sz w:val="24"/>
        </w:rPr>
        <w:t>5、评标委员会各成员独立对每个进入打分程序的有效投标人的标书商务技术标以打分的形式进行评审和评价，商务技术标分值为所有评委评分的算术平均值（计算结果均四舍五入保留两位小数）。</w:t>
      </w:r>
    </w:p>
    <w:p>
      <w:pPr>
        <w:snapToGrid w:val="0"/>
        <w:spacing w:line="360" w:lineRule="auto"/>
        <w:ind w:firstLine="484" w:firstLineChars="202"/>
        <w:rPr>
          <w:color w:val="auto"/>
          <w:kern w:val="0"/>
          <w:sz w:val="24"/>
        </w:rPr>
      </w:pPr>
      <w:r>
        <w:rPr>
          <w:color w:val="auto"/>
          <w:kern w:val="0"/>
          <w:sz w:val="24"/>
        </w:rPr>
        <w:t>6、技术部分评审结束后，开启投标人的价格标，投标人的价格标得分直接计算取得，与商务技术标得分相加为投标人的综合得分（计算结果均四舍五入保留两位小数）。</w:t>
      </w:r>
    </w:p>
    <w:p>
      <w:pPr>
        <w:snapToGrid w:val="0"/>
        <w:spacing w:line="360" w:lineRule="auto"/>
        <w:ind w:firstLine="484" w:firstLineChars="202"/>
        <w:rPr>
          <w:color w:val="auto"/>
          <w:kern w:val="0"/>
          <w:sz w:val="24"/>
        </w:rPr>
      </w:pPr>
      <w:r>
        <w:rPr>
          <w:color w:val="auto"/>
          <w:kern w:val="0"/>
          <w:sz w:val="24"/>
        </w:rPr>
        <w:t>7、综合得分最高者推荐为预中标人，并出具评审报告。</w:t>
      </w:r>
    </w:p>
    <w:p>
      <w:pPr>
        <w:snapToGrid w:val="0"/>
        <w:spacing w:line="360" w:lineRule="auto"/>
        <w:ind w:firstLine="484" w:firstLineChars="202"/>
        <w:rPr>
          <w:color w:val="auto"/>
          <w:kern w:val="0"/>
          <w:sz w:val="24"/>
        </w:rPr>
      </w:pPr>
      <w:r>
        <w:rPr>
          <w:color w:val="auto"/>
          <w:kern w:val="0"/>
          <w:sz w:val="24"/>
        </w:rPr>
        <w:t>本项目第一中标候选人原则上为中标人。当排名第一的中标候选人放弃中标、因不可抗力不能履行合同，或者被查实存在影响中标结果的违法行为等情形，不符合中标条件的，采购人可以按照评标委员会提出的中标候选人名单排序依次确定其他中标候选人为中标人，也可以重新招标。</w:t>
      </w:r>
    </w:p>
    <w:p>
      <w:pPr>
        <w:snapToGrid w:val="0"/>
        <w:spacing w:line="360" w:lineRule="auto"/>
        <w:ind w:firstLine="482" w:firstLineChars="200"/>
        <w:outlineLvl w:val="1"/>
        <w:rPr>
          <w:b/>
          <w:color w:val="auto"/>
          <w:kern w:val="0"/>
          <w:sz w:val="24"/>
        </w:rPr>
      </w:pPr>
      <w:r>
        <w:rPr>
          <w:rFonts w:hint="eastAsia"/>
          <w:b/>
          <w:color w:val="auto"/>
          <w:kern w:val="0"/>
          <w:sz w:val="24"/>
        </w:rPr>
        <w:t>三</w:t>
      </w:r>
      <w:r>
        <w:rPr>
          <w:b/>
          <w:color w:val="auto"/>
          <w:kern w:val="0"/>
          <w:sz w:val="24"/>
        </w:rPr>
        <w:t>、</w:t>
      </w:r>
      <w:r>
        <w:rPr>
          <w:rFonts w:hint="eastAsia" w:ascii="宋体" w:hAnsi="宋体" w:cs="仿宋_GB2312"/>
          <w:b/>
          <w:bCs/>
          <w:color w:val="auto"/>
          <w:sz w:val="24"/>
          <w:szCs w:val="20"/>
        </w:rPr>
        <w:t>中标人的确定</w:t>
      </w:r>
    </w:p>
    <w:p>
      <w:pPr>
        <w:snapToGrid w:val="0"/>
        <w:spacing w:line="360" w:lineRule="auto"/>
        <w:ind w:firstLine="480" w:firstLineChars="200"/>
        <w:rPr>
          <w:color w:val="auto"/>
          <w:kern w:val="0"/>
          <w:sz w:val="24"/>
        </w:rPr>
      </w:pPr>
      <w:r>
        <w:rPr>
          <w:rFonts w:hint="eastAsia"/>
          <w:color w:val="auto"/>
          <w:kern w:val="0"/>
          <w:sz w:val="24"/>
        </w:rPr>
        <w:t>1</w:t>
      </w:r>
      <w:r>
        <w:rPr>
          <w:color w:val="auto"/>
          <w:kern w:val="0"/>
          <w:sz w:val="24"/>
        </w:rPr>
        <w:t>、评标委员会依据投标人的</w:t>
      </w:r>
      <w:r>
        <w:rPr>
          <w:rFonts w:hint="eastAsia"/>
          <w:color w:val="auto"/>
          <w:kern w:val="0"/>
          <w:sz w:val="24"/>
        </w:rPr>
        <w:t>综合</w:t>
      </w:r>
      <w:r>
        <w:rPr>
          <w:color w:val="auto"/>
          <w:kern w:val="0"/>
          <w:sz w:val="24"/>
        </w:rPr>
        <w:t>得分</w:t>
      </w:r>
      <w:r>
        <w:rPr>
          <w:rFonts w:hint="eastAsia"/>
          <w:color w:val="auto"/>
          <w:kern w:val="0"/>
          <w:sz w:val="24"/>
        </w:rPr>
        <w:t>（商务技术得分与价格得分之和）</w:t>
      </w:r>
      <w:r>
        <w:rPr>
          <w:rFonts w:hint="eastAsia" w:ascii="宋体" w:hAnsi="宋体" w:cs="宋体"/>
          <w:bCs/>
          <w:color w:val="auto"/>
          <w:sz w:val="24"/>
        </w:rPr>
        <w:t>从高到低排序</w:t>
      </w:r>
      <w:r>
        <w:rPr>
          <w:rFonts w:hint="eastAsia"/>
          <w:color w:val="auto"/>
          <w:kern w:val="0"/>
          <w:sz w:val="24"/>
        </w:rPr>
        <w:t>推荐中标</w:t>
      </w:r>
      <w:r>
        <w:rPr>
          <w:color w:val="auto"/>
          <w:kern w:val="0"/>
          <w:sz w:val="24"/>
        </w:rPr>
        <w:t xml:space="preserve">候选人，并将结果通知所有投标人。  </w:t>
      </w:r>
    </w:p>
    <w:p>
      <w:pPr>
        <w:snapToGrid w:val="0"/>
        <w:spacing w:line="360" w:lineRule="auto"/>
        <w:ind w:firstLine="480" w:firstLineChars="200"/>
        <w:rPr>
          <w:color w:val="auto"/>
          <w:kern w:val="0"/>
          <w:sz w:val="24"/>
        </w:rPr>
      </w:pPr>
      <w:r>
        <w:rPr>
          <w:rFonts w:hint="eastAsia"/>
          <w:color w:val="auto"/>
          <w:kern w:val="0"/>
          <w:sz w:val="24"/>
        </w:rPr>
        <w:t>2</w:t>
      </w:r>
      <w:r>
        <w:rPr>
          <w:color w:val="auto"/>
          <w:kern w:val="0"/>
          <w:sz w:val="24"/>
        </w:rPr>
        <w:t>、</w:t>
      </w:r>
      <w:r>
        <w:rPr>
          <w:rFonts w:hint="eastAsia"/>
          <w:color w:val="auto"/>
          <w:kern w:val="0"/>
          <w:sz w:val="24"/>
        </w:rPr>
        <w:t>推荐中标</w:t>
      </w:r>
      <w:r>
        <w:rPr>
          <w:color w:val="auto"/>
          <w:kern w:val="0"/>
          <w:sz w:val="24"/>
        </w:rPr>
        <w:t>候选人的特殊情况处理：</w:t>
      </w:r>
    </w:p>
    <w:p>
      <w:pPr>
        <w:snapToGrid w:val="0"/>
        <w:spacing w:line="360" w:lineRule="auto"/>
        <w:rPr>
          <w:color w:val="auto"/>
          <w:kern w:val="0"/>
          <w:sz w:val="24"/>
        </w:rPr>
      </w:pPr>
      <w:r>
        <w:rPr>
          <w:color w:val="auto"/>
          <w:kern w:val="0"/>
          <w:sz w:val="24"/>
        </w:rPr>
        <w:t xml:space="preserve">   （1）若总分相同，则按价格标得分高者优先。</w:t>
      </w:r>
    </w:p>
    <w:p>
      <w:pPr>
        <w:snapToGrid w:val="0"/>
        <w:spacing w:line="360" w:lineRule="auto"/>
        <w:rPr>
          <w:color w:val="auto"/>
          <w:kern w:val="0"/>
          <w:sz w:val="24"/>
        </w:rPr>
      </w:pPr>
      <w:r>
        <w:rPr>
          <w:color w:val="auto"/>
          <w:kern w:val="0"/>
          <w:sz w:val="24"/>
        </w:rPr>
        <w:t xml:space="preserve">   （2）若总分且价格标得分相同，则采取现场抽签的方式确定（投标人的抽签顺序分别为各投标人递交投标文件签到顺序号）。</w:t>
      </w:r>
    </w:p>
    <w:p>
      <w:pPr>
        <w:snapToGrid w:val="0"/>
        <w:spacing w:line="360" w:lineRule="auto"/>
        <w:ind w:firstLine="482" w:firstLineChars="200"/>
        <w:outlineLvl w:val="1"/>
        <w:rPr>
          <w:b/>
          <w:bCs/>
          <w:color w:val="auto"/>
          <w:sz w:val="24"/>
        </w:rPr>
      </w:pPr>
      <w:bookmarkStart w:id="96" w:name="_Toc14794"/>
      <w:bookmarkStart w:id="97" w:name="_Toc40256465"/>
      <w:r>
        <w:rPr>
          <w:rFonts w:hint="eastAsia"/>
          <w:b/>
          <w:bCs/>
          <w:color w:val="auto"/>
          <w:sz w:val="24"/>
        </w:rPr>
        <w:t>四</w:t>
      </w:r>
      <w:r>
        <w:rPr>
          <w:b/>
          <w:bCs/>
          <w:color w:val="auto"/>
          <w:sz w:val="24"/>
        </w:rPr>
        <w:t>、评审因素和评分标准</w:t>
      </w:r>
      <w:bookmarkEnd w:id="96"/>
      <w:bookmarkEnd w:id="97"/>
    </w:p>
    <w:p>
      <w:pPr>
        <w:snapToGrid w:val="0"/>
        <w:spacing w:line="360" w:lineRule="auto"/>
        <w:ind w:firstLine="482" w:firstLineChars="200"/>
        <w:rPr>
          <w:b/>
          <w:bCs/>
          <w:color w:val="auto"/>
          <w:sz w:val="24"/>
        </w:rPr>
      </w:pPr>
      <w:r>
        <w:rPr>
          <w:b/>
          <w:bCs/>
          <w:color w:val="auto"/>
          <w:sz w:val="24"/>
        </w:rPr>
        <w:t>（一）评审方法</w:t>
      </w:r>
    </w:p>
    <w:p>
      <w:pPr>
        <w:snapToGrid w:val="0"/>
        <w:spacing w:line="360" w:lineRule="auto"/>
        <w:ind w:firstLine="480" w:firstLineChars="200"/>
        <w:rPr>
          <w:color w:val="auto"/>
          <w:sz w:val="24"/>
        </w:rPr>
      </w:pPr>
      <w:r>
        <w:rPr>
          <w:color w:val="auto"/>
          <w:sz w:val="24"/>
        </w:rPr>
        <w:t>本项目采用综合评分法。</w:t>
      </w:r>
    </w:p>
    <w:p>
      <w:pPr>
        <w:snapToGrid w:val="0"/>
        <w:spacing w:line="360" w:lineRule="auto"/>
        <w:ind w:firstLine="480" w:firstLineChars="200"/>
        <w:rPr>
          <w:color w:val="auto"/>
          <w:sz w:val="24"/>
        </w:rPr>
      </w:pPr>
      <w:r>
        <w:rPr>
          <w:color w:val="auto"/>
          <w:sz w:val="24"/>
        </w:rPr>
        <w:t>注：每部分的得分保留小数点后两位，合计得分保留小数点后两位。</w:t>
      </w:r>
    </w:p>
    <w:p>
      <w:pPr>
        <w:snapToGrid w:val="0"/>
        <w:spacing w:line="360" w:lineRule="auto"/>
        <w:ind w:firstLine="482" w:firstLineChars="200"/>
        <w:rPr>
          <w:b/>
          <w:bCs/>
          <w:color w:val="auto"/>
          <w:sz w:val="24"/>
        </w:rPr>
      </w:pPr>
      <w:r>
        <w:rPr>
          <w:b/>
          <w:bCs/>
          <w:color w:val="auto"/>
          <w:sz w:val="24"/>
        </w:rPr>
        <w:t>（</w:t>
      </w:r>
      <w:r>
        <w:rPr>
          <w:rFonts w:hint="eastAsia"/>
          <w:b/>
          <w:bCs/>
          <w:color w:val="auto"/>
          <w:sz w:val="24"/>
        </w:rPr>
        <w:t>二</w:t>
      </w:r>
      <w:r>
        <w:rPr>
          <w:b/>
          <w:bCs/>
          <w:color w:val="auto"/>
          <w:sz w:val="24"/>
        </w:rPr>
        <w:t>）评审因素、权值及评分标准</w:t>
      </w:r>
    </w:p>
    <w:p>
      <w:pPr>
        <w:snapToGrid w:val="0"/>
        <w:spacing w:line="360" w:lineRule="auto"/>
        <w:ind w:firstLine="482" w:firstLineChars="200"/>
        <w:rPr>
          <w:b/>
          <w:color w:val="auto"/>
          <w:sz w:val="24"/>
        </w:rPr>
      </w:pPr>
      <w:bookmarkStart w:id="98" w:name="OLE_LINK65"/>
      <w:bookmarkStart w:id="99" w:name="OLE_LINK61"/>
      <w:r>
        <w:rPr>
          <w:b/>
          <w:color w:val="auto"/>
          <w:sz w:val="24"/>
        </w:rPr>
        <w:t>1、报价</w:t>
      </w:r>
      <w:bookmarkEnd w:id="98"/>
      <w:bookmarkEnd w:id="99"/>
      <w:r>
        <w:rPr>
          <w:rFonts w:hint="eastAsia"/>
          <w:b/>
          <w:color w:val="auto"/>
          <w:sz w:val="24"/>
        </w:rPr>
        <w:t>（40分）</w:t>
      </w:r>
    </w:p>
    <w:p>
      <w:pPr>
        <w:snapToGrid w:val="0"/>
        <w:spacing w:line="360" w:lineRule="auto"/>
        <w:ind w:firstLine="480" w:firstLineChars="200"/>
        <w:rPr>
          <w:color w:val="auto"/>
          <w:sz w:val="24"/>
        </w:rPr>
      </w:pPr>
      <w:r>
        <w:rPr>
          <w:rFonts w:hint="eastAsia"/>
          <w:color w:val="auto"/>
          <w:sz w:val="24"/>
        </w:rPr>
        <w:t>价格分采用低价优先法计算，即满足招标文件要求且报价最低的供应商的价格为评标基准价，其价格分为满分。其他供应商的价格分统一按照下列公式计算：报价得分=（评标基准价/各供应商报价）</w:t>
      </w:r>
      <w:r>
        <w:rPr>
          <w:rFonts w:ascii="Arial" w:hAnsi="Arial" w:cs="Arial"/>
          <w:color w:val="auto"/>
          <w:sz w:val="24"/>
        </w:rPr>
        <w:t>×</w:t>
      </w:r>
      <w:r>
        <w:rPr>
          <w:rFonts w:hint="eastAsia" w:ascii="Arial" w:hAnsi="Arial" w:cs="Arial"/>
          <w:color w:val="auto"/>
          <w:sz w:val="24"/>
        </w:rPr>
        <w:t>4</w:t>
      </w:r>
      <w:r>
        <w:rPr>
          <w:rFonts w:hint="eastAsia"/>
          <w:color w:val="auto"/>
          <w:sz w:val="24"/>
        </w:rPr>
        <w:t>0</w:t>
      </w:r>
    </w:p>
    <w:p>
      <w:pPr>
        <w:snapToGrid w:val="0"/>
        <w:spacing w:line="360" w:lineRule="auto"/>
        <w:ind w:firstLine="482" w:firstLineChars="200"/>
        <w:rPr>
          <w:b/>
          <w:bCs/>
          <w:color w:val="auto"/>
          <w:sz w:val="24"/>
        </w:rPr>
      </w:pPr>
      <w:bookmarkStart w:id="100" w:name="OLE_LINK8"/>
      <w:bookmarkStart w:id="101" w:name="OLE_LINK9"/>
      <w:r>
        <w:rPr>
          <w:rFonts w:hint="eastAsia"/>
          <w:b/>
          <w:bCs/>
          <w:color w:val="auto"/>
          <w:sz w:val="24"/>
        </w:rPr>
        <w:t>异常低价审查</w:t>
      </w:r>
    </w:p>
    <w:p>
      <w:pPr>
        <w:snapToGrid w:val="0"/>
        <w:spacing w:line="360" w:lineRule="auto"/>
        <w:ind w:firstLine="482" w:firstLineChars="200"/>
        <w:rPr>
          <w:b/>
          <w:bCs/>
          <w:color w:val="auto"/>
          <w:sz w:val="24"/>
        </w:rPr>
      </w:pPr>
      <w:r>
        <w:rPr>
          <w:rFonts w:hint="eastAsia"/>
          <w:b/>
          <w:bCs/>
          <w:color w:val="auto"/>
          <w:sz w:val="24"/>
        </w:rPr>
        <w:t>1根据省财政厅《关于推动解决政府采购异常低价问题相关工作的通知》（苏财购〔2025〕62号）要求，评审过程中出现下列情形之一的，评审委员会应当启动异常低价投标（响应）审查程序：</w:t>
      </w:r>
    </w:p>
    <w:p>
      <w:pPr>
        <w:snapToGrid w:val="0"/>
        <w:spacing w:line="360" w:lineRule="auto"/>
        <w:ind w:firstLine="482" w:firstLineChars="200"/>
        <w:rPr>
          <w:b/>
          <w:bCs/>
          <w:color w:val="auto"/>
          <w:sz w:val="24"/>
        </w:rPr>
      </w:pPr>
      <w:r>
        <w:rPr>
          <w:rFonts w:hint="eastAsia"/>
          <w:b/>
          <w:bCs/>
          <w:color w:val="auto"/>
          <w:sz w:val="24"/>
        </w:rPr>
        <w:t>（1）投标(响应)报价低于采购项目预算50%的，即投标(响应)报价&lt;采购项目预算×50%;</w:t>
      </w:r>
    </w:p>
    <w:p>
      <w:pPr>
        <w:snapToGrid w:val="0"/>
        <w:spacing w:line="360" w:lineRule="auto"/>
        <w:ind w:firstLine="482" w:firstLineChars="200"/>
        <w:rPr>
          <w:b/>
          <w:bCs/>
          <w:color w:val="auto"/>
          <w:sz w:val="24"/>
        </w:rPr>
      </w:pPr>
      <w:r>
        <w:rPr>
          <w:rFonts w:hint="eastAsia"/>
          <w:b/>
          <w:bCs/>
          <w:color w:val="auto"/>
          <w:sz w:val="24"/>
        </w:rPr>
        <w:t>（2）投标(响应)报价低于采购项目最高限价45%的，即投标(响应)报价&lt;采购项目最高限价×45%;</w:t>
      </w:r>
    </w:p>
    <w:p>
      <w:pPr>
        <w:snapToGrid w:val="0"/>
        <w:spacing w:line="360" w:lineRule="auto"/>
        <w:ind w:firstLine="482" w:firstLineChars="200"/>
        <w:rPr>
          <w:b/>
          <w:bCs/>
          <w:color w:val="auto"/>
          <w:sz w:val="24"/>
        </w:rPr>
      </w:pPr>
      <w:r>
        <w:rPr>
          <w:rFonts w:hint="eastAsia"/>
          <w:b/>
          <w:bCs/>
          <w:color w:val="auto"/>
          <w:sz w:val="24"/>
        </w:rPr>
        <w:t>（3）评审委员会认定的供应商报价过低、有可能影响产品质量或者不能诚信履约的其他情形。</w:t>
      </w:r>
    </w:p>
    <w:p>
      <w:pPr>
        <w:snapToGrid w:val="0"/>
        <w:spacing w:line="360" w:lineRule="auto"/>
        <w:ind w:firstLine="482" w:firstLineChars="200"/>
        <w:rPr>
          <w:b/>
          <w:bCs/>
          <w:color w:val="auto"/>
          <w:sz w:val="24"/>
        </w:rPr>
      </w:pPr>
      <w:r>
        <w:rPr>
          <w:rFonts w:hint="eastAsia"/>
          <w:b/>
          <w:bCs/>
          <w:color w:val="auto"/>
          <w:sz w:val="24"/>
        </w:rPr>
        <w:t>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bookmarkEnd w:id="100"/>
    <w:bookmarkEnd w:id="101"/>
    <w:p>
      <w:pPr>
        <w:numPr>
          <w:ilvl w:val="0"/>
          <w:numId w:val="1"/>
        </w:numPr>
        <w:snapToGrid w:val="0"/>
        <w:spacing w:line="360" w:lineRule="auto"/>
        <w:ind w:firstLine="482" w:firstLineChars="200"/>
        <w:outlineLvl w:val="1"/>
        <w:rPr>
          <w:b/>
          <w:color w:val="auto"/>
          <w:sz w:val="24"/>
        </w:rPr>
      </w:pPr>
      <w:r>
        <w:rPr>
          <w:b/>
          <w:color w:val="auto"/>
          <w:sz w:val="24"/>
        </w:rPr>
        <w:t>商务技术标</w:t>
      </w:r>
      <w:r>
        <w:rPr>
          <w:rFonts w:hint="eastAsia"/>
          <w:b/>
          <w:color w:val="auto"/>
          <w:sz w:val="24"/>
        </w:rPr>
        <w:t>（60分）</w:t>
      </w:r>
      <w:r>
        <w:rPr>
          <w:b/>
          <w:color w:val="auto"/>
          <w:sz w:val="24"/>
        </w:rPr>
        <w:t xml:space="preserve"> </w:t>
      </w:r>
    </w:p>
    <w:tbl>
      <w:tblPr>
        <w:tblStyle w:val="24"/>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90"/>
        <w:gridCol w:w="6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pPr>
              <w:spacing w:line="276" w:lineRule="auto"/>
              <w:rPr>
                <w:rFonts w:ascii="宋体" w:hAnsi="宋体" w:cs="Calibri"/>
                <w:bCs/>
                <w:color w:val="auto"/>
                <w:sz w:val="24"/>
                <w:highlight w:val="none"/>
              </w:rPr>
            </w:pPr>
            <w:r>
              <w:rPr>
                <w:rFonts w:hint="eastAsia" w:ascii="宋体" w:hAnsi="宋体" w:cs="Calibri"/>
                <w:bCs/>
                <w:color w:val="auto"/>
                <w:sz w:val="24"/>
                <w:highlight w:val="none"/>
              </w:rPr>
              <w:t>序号</w:t>
            </w:r>
          </w:p>
        </w:tc>
        <w:tc>
          <w:tcPr>
            <w:tcW w:w="1590" w:type="dxa"/>
            <w:vAlign w:val="center"/>
          </w:tcPr>
          <w:p>
            <w:pPr>
              <w:spacing w:line="276" w:lineRule="auto"/>
              <w:jc w:val="center"/>
              <w:rPr>
                <w:rFonts w:ascii="宋体" w:hAnsi="宋体" w:cs="Calibri"/>
                <w:bCs/>
                <w:color w:val="auto"/>
                <w:sz w:val="24"/>
                <w:highlight w:val="none"/>
              </w:rPr>
            </w:pPr>
            <w:r>
              <w:rPr>
                <w:rFonts w:hint="eastAsia" w:ascii="宋体" w:hAnsi="宋体" w:cs="Calibri"/>
                <w:bCs/>
                <w:color w:val="auto"/>
                <w:sz w:val="24"/>
                <w:highlight w:val="none"/>
              </w:rPr>
              <w:t>评分点名称</w:t>
            </w:r>
          </w:p>
        </w:tc>
        <w:tc>
          <w:tcPr>
            <w:tcW w:w="6919" w:type="dxa"/>
            <w:vAlign w:val="center"/>
          </w:tcPr>
          <w:p>
            <w:pPr>
              <w:spacing w:line="276" w:lineRule="auto"/>
              <w:jc w:val="center"/>
              <w:rPr>
                <w:rFonts w:ascii="宋体" w:hAnsi="宋体" w:cs="Calibri"/>
                <w:bCs/>
                <w:color w:val="auto"/>
                <w:sz w:val="24"/>
                <w:highlight w:val="none"/>
              </w:rPr>
            </w:pPr>
            <w:r>
              <w:rPr>
                <w:rFonts w:hint="eastAsia" w:ascii="宋体" w:hAnsi="宋体" w:cs="Calibri"/>
                <w:bCs/>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restart"/>
            <w:vAlign w:val="center"/>
          </w:tcPr>
          <w:p>
            <w:pPr>
              <w:spacing w:line="276" w:lineRule="auto"/>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1590" w:type="dxa"/>
            <w:vMerge w:val="restart"/>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实施方案</w:t>
            </w:r>
          </w:p>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（30分）</w:t>
            </w:r>
          </w:p>
        </w:tc>
        <w:tc>
          <w:tcPr>
            <w:tcW w:w="6919" w:type="dxa"/>
            <w:vAlign w:val="center"/>
          </w:tcPr>
          <w:p>
            <w:pPr>
              <w:widowControl/>
              <w:jc w:val="left"/>
              <w:rPr>
                <w:rFonts w:ascii="宋体" w:hAnsi="宋体" w:cs="宋体"/>
                <w:color w:val="auto"/>
                <w:sz w:val="24"/>
                <w:highlight w:val="none"/>
              </w:rPr>
            </w:pPr>
            <w:r>
              <w:rPr>
                <w:rFonts w:hint="eastAsia" w:ascii="宋体" w:hAnsi="宋体" w:cs="宋体"/>
                <w:color w:val="auto"/>
                <w:kern w:val="0"/>
                <w:sz w:val="24"/>
                <w:highlight w:val="none"/>
              </w:rPr>
              <w:t xml:space="preserve">1.项目服务方案（15分） </w:t>
            </w:r>
          </w:p>
          <w:p>
            <w:pPr>
              <w:widowControl/>
              <w:jc w:val="left"/>
              <w:rPr>
                <w:rFonts w:ascii="宋体" w:hAnsi="宋体" w:cs="宋体"/>
                <w:color w:val="auto"/>
                <w:sz w:val="24"/>
                <w:highlight w:val="none"/>
              </w:rPr>
            </w:pPr>
            <w:r>
              <w:rPr>
                <w:rFonts w:hint="eastAsia" w:ascii="宋体" w:hAnsi="宋体" w:cs="宋体"/>
                <w:color w:val="auto"/>
                <w:kern w:val="0"/>
                <w:sz w:val="24"/>
                <w:highlight w:val="none"/>
              </w:rPr>
              <w:t xml:space="preserve">根据项目方案的完整性、全面性进行横向比较： </w:t>
            </w:r>
          </w:p>
          <w:p>
            <w:pPr>
              <w:widowControl/>
              <w:jc w:val="left"/>
              <w:rPr>
                <w:rFonts w:ascii="宋体" w:hAnsi="宋体" w:cs="宋体"/>
                <w:color w:val="auto"/>
                <w:sz w:val="24"/>
                <w:highlight w:val="none"/>
              </w:rPr>
            </w:pPr>
            <w:r>
              <w:rPr>
                <w:rFonts w:hint="eastAsia" w:ascii="宋体" w:hAnsi="宋体" w:cs="宋体"/>
                <w:color w:val="auto"/>
                <w:kern w:val="0"/>
                <w:sz w:val="24"/>
                <w:highlight w:val="none"/>
              </w:rPr>
              <w:t xml:space="preserve">项目方案非常完整、全面，得15分； </w:t>
            </w:r>
          </w:p>
          <w:p>
            <w:pPr>
              <w:widowControl/>
              <w:jc w:val="left"/>
              <w:rPr>
                <w:rFonts w:ascii="宋体" w:hAnsi="宋体" w:cs="宋体"/>
                <w:color w:val="auto"/>
                <w:sz w:val="24"/>
                <w:highlight w:val="none"/>
              </w:rPr>
            </w:pPr>
            <w:r>
              <w:rPr>
                <w:rFonts w:hint="eastAsia" w:ascii="宋体" w:hAnsi="宋体" w:cs="宋体"/>
                <w:color w:val="auto"/>
                <w:kern w:val="0"/>
                <w:sz w:val="24"/>
                <w:highlight w:val="none"/>
              </w:rPr>
              <w:t xml:space="preserve">项目方案基本完整、全面，得9分； </w:t>
            </w:r>
          </w:p>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项目方案的完整性、全面性较低，得3分。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761" w:type="dxa"/>
            <w:vMerge w:val="continue"/>
            <w:vAlign w:val="center"/>
          </w:tcPr>
          <w:p>
            <w:pPr>
              <w:spacing w:line="276" w:lineRule="auto"/>
              <w:jc w:val="center"/>
              <w:rPr>
                <w:rFonts w:ascii="宋体" w:hAnsi="宋体" w:cs="宋体"/>
                <w:bCs/>
                <w:color w:val="auto"/>
                <w:sz w:val="24"/>
                <w:highlight w:val="none"/>
              </w:rPr>
            </w:pPr>
          </w:p>
        </w:tc>
        <w:tc>
          <w:tcPr>
            <w:tcW w:w="1590" w:type="dxa"/>
            <w:vMerge w:val="continue"/>
            <w:vAlign w:val="center"/>
          </w:tcPr>
          <w:p>
            <w:pPr>
              <w:widowControl/>
              <w:spacing w:line="400" w:lineRule="exact"/>
              <w:jc w:val="center"/>
              <w:rPr>
                <w:rFonts w:ascii="宋体" w:hAnsi="宋体" w:cs="宋体"/>
                <w:color w:val="auto"/>
                <w:kern w:val="0"/>
                <w:sz w:val="24"/>
                <w:highlight w:val="none"/>
              </w:rPr>
            </w:pPr>
          </w:p>
        </w:tc>
        <w:tc>
          <w:tcPr>
            <w:tcW w:w="6919" w:type="dxa"/>
            <w:vAlign w:val="center"/>
          </w:tcPr>
          <w:p>
            <w:pPr>
              <w:widowControl/>
              <w:jc w:val="left"/>
              <w:rPr>
                <w:rFonts w:ascii="宋体" w:hAnsi="宋体" w:cs="宋体"/>
                <w:color w:val="auto"/>
                <w:sz w:val="24"/>
                <w:highlight w:val="none"/>
              </w:rPr>
            </w:pPr>
            <w:r>
              <w:rPr>
                <w:rFonts w:hint="eastAsia" w:ascii="宋体" w:hAnsi="宋体" w:cs="宋体"/>
                <w:color w:val="auto"/>
                <w:kern w:val="0"/>
                <w:sz w:val="24"/>
                <w:highlight w:val="none"/>
              </w:rPr>
              <w:t xml:space="preserve">2. 安全保密方案（15分） </w:t>
            </w:r>
          </w:p>
          <w:p>
            <w:pPr>
              <w:widowControl/>
              <w:jc w:val="left"/>
              <w:rPr>
                <w:rFonts w:ascii="宋体" w:hAnsi="宋体" w:cs="宋体"/>
                <w:color w:val="auto"/>
                <w:sz w:val="24"/>
                <w:highlight w:val="none"/>
              </w:rPr>
            </w:pPr>
            <w:r>
              <w:rPr>
                <w:rFonts w:hint="eastAsia" w:ascii="宋体" w:hAnsi="宋体" w:cs="宋体"/>
                <w:color w:val="auto"/>
                <w:kern w:val="0"/>
                <w:sz w:val="24"/>
                <w:highlight w:val="none"/>
              </w:rPr>
              <w:t xml:space="preserve">制订安全保密制度，档案资料的安全性进行横向比较： </w:t>
            </w:r>
          </w:p>
          <w:p>
            <w:pPr>
              <w:widowControl/>
              <w:jc w:val="left"/>
              <w:rPr>
                <w:rFonts w:ascii="宋体" w:hAnsi="宋体" w:cs="宋体"/>
                <w:color w:val="auto"/>
                <w:sz w:val="24"/>
                <w:highlight w:val="none"/>
              </w:rPr>
            </w:pPr>
            <w:r>
              <w:rPr>
                <w:rFonts w:hint="eastAsia" w:ascii="宋体" w:hAnsi="宋体" w:cs="宋体"/>
                <w:color w:val="auto"/>
                <w:kern w:val="0"/>
                <w:sz w:val="24"/>
                <w:highlight w:val="none"/>
              </w:rPr>
              <w:t xml:space="preserve">安全保密制度完善，档案资料安全性高的，得15分； </w:t>
            </w:r>
          </w:p>
          <w:p>
            <w:pPr>
              <w:widowControl/>
              <w:jc w:val="left"/>
              <w:rPr>
                <w:rFonts w:ascii="宋体" w:hAnsi="宋体" w:cs="宋体"/>
                <w:color w:val="auto"/>
                <w:sz w:val="24"/>
                <w:highlight w:val="none"/>
              </w:rPr>
            </w:pPr>
            <w:r>
              <w:rPr>
                <w:rFonts w:hint="eastAsia" w:ascii="宋体" w:hAnsi="宋体" w:cs="宋体"/>
                <w:color w:val="auto"/>
                <w:kern w:val="0"/>
                <w:sz w:val="24"/>
                <w:highlight w:val="none"/>
              </w:rPr>
              <w:t xml:space="preserve">有安全保密制度，档案资料安全性一般的，得9分； </w:t>
            </w:r>
          </w:p>
          <w:p>
            <w:pPr>
              <w:widowControl/>
              <w:jc w:val="left"/>
              <w:rPr>
                <w:rFonts w:ascii="宋体" w:hAnsi="宋体" w:cs="宋体"/>
                <w:bCs/>
                <w:color w:val="auto"/>
                <w:sz w:val="24"/>
                <w:highlight w:val="none"/>
              </w:rPr>
            </w:pPr>
            <w:r>
              <w:rPr>
                <w:rFonts w:hint="eastAsia" w:ascii="宋体" w:hAnsi="宋体" w:cs="宋体"/>
                <w:color w:val="auto"/>
                <w:kern w:val="0"/>
                <w:sz w:val="24"/>
                <w:highlight w:val="none"/>
              </w:rPr>
              <w:t>安全保密制度一般详细，档案资料安全性较低的，得3分。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pPr>
              <w:spacing w:line="276" w:lineRule="auto"/>
              <w:jc w:val="center"/>
              <w:rPr>
                <w:rFonts w:ascii="宋体" w:hAnsi="宋体" w:cs="宋体"/>
                <w:bCs/>
                <w:color w:val="auto"/>
                <w:sz w:val="24"/>
                <w:highlight w:val="none"/>
              </w:rPr>
            </w:pPr>
            <w:r>
              <w:rPr>
                <w:rFonts w:hint="eastAsia" w:ascii="宋体" w:hAnsi="宋体" w:cs="宋体"/>
                <w:bCs/>
                <w:color w:val="auto"/>
                <w:sz w:val="24"/>
                <w:highlight w:val="none"/>
              </w:rPr>
              <w:t>2</w:t>
            </w:r>
          </w:p>
        </w:tc>
        <w:tc>
          <w:tcPr>
            <w:tcW w:w="1590" w:type="dxa"/>
            <w:vAlign w:val="center"/>
          </w:tcPr>
          <w:p>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业绩</w:t>
            </w:r>
          </w:p>
          <w:p>
            <w:pPr>
              <w:pStyle w:val="2"/>
              <w:jc w:val="center"/>
              <w:rPr>
                <w:color w:val="auto"/>
                <w:highlight w:val="none"/>
              </w:rPr>
            </w:pPr>
            <w:r>
              <w:rPr>
                <w:rFonts w:hint="eastAsia" w:ascii="宋体" w:hAnsi="宋体" w:cs="宋体"/>
                <w:color w:val="auto"/>
                <w:szCs w:val="24"/>
                <w:highlight w:val="none"/>
              </w:rPr>
              <w:t>（20分）</w:t>
            </w:r>
          </w:p>
        </w:tc>
        <w:tc>
          <w:tcPr>
            <w:tcW w:w="6919" w:type="dxa"/>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 xml:space="preserve">响应供应商自2020年1月1日以来（以合同签订时间为准）承担过档案数字化服务的业绩，有一个得4分，最多得20分。 </w:t>
            </w:r>
          </w:p>
          <w:p>
            <w:pPr>
              <w:widowControl/>
              <w:jc w:val="left"/>
              <w:rPr>
                <w:rFonts w:ascii="宋体" w:hAnsi="宋体" w:cs="宋体"/>
                <w:color w:val="auto"/>
                <w:sz w:val="24"/>
                <w:highlight w:val="none"/>
              </w:rPr>
            </w:pPr>
            <w:r>
              <w:rPr>
                <w:rFonts w:hint="eastAsia" w:ascii="宋体" w:hAnsi="宋体" w:cs="宋体"/>
                <w:b/>
                <w:bCs/>
                <w:color w:val="auto"/>
                <w:kern w:val="0"/>
                <w:sz w:val="24"/>
                <w:highlight w:val="none"/>
              </w:rPr>
              <w:t>注：以上业绩均须提供项目的合同。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pPr>
              <w:spacing w:line="276" w:lineRule="auto"/>
              <w:jc w:val="center"/>
              <w:rPr>
                <w:rFonts w:ascii="宋体" w:hAnsi="宋体" w:cs="宋体"/>
                <w:bCs/>
                <w:color w:val="auto"/>
                <w:sz w:val="24"/>
                <w:highlight w:val="none"/>
              </w:rPr>
            </w:pPr>
            <w:r>
              <w:rPr>
                <w:rFonts w:hint="eastAsia" w:ascii="宋体" w:hAnsi="宋体" w:cs="宋体"/>
                <w:bCs/>
                <w:color w:val="auto"/>
                <w:sz w:val="24"/>
                <w:highlight w:val="none"/>
              </w:rPr>
              <w:t>3</w:t>
            </w:r>
          </w:p>
        </w:tc>
        <w:tc>
          <w:tcPr>
            <w:tcW w:w="1590" w:type="dxa"/>
            <w:vAlign w:val="center"/>
          </w:tcPr>
          <w:p>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售后服务</w:t>
            </w:r>
          </w:p>
          <w:p>
            <w:pPr>
              <w:pStyle w:val="2"/>
              <w:jc w:val="center"/>
              <w:rPr>
                <w:color w:val="auto"/>
                <w:highlight w:val="none"/>
              </w:rPr>
            </w:pPr>
            <w:r>
              <w:rPr>
                <w:rFonts w:hint="eastAsia" w:ascii="宋体" w:hAnsi="宋体" w:cs="宋体"/>
                <w:color w:val="auto"/>
                <w:szCs w:val="24"/>
                <w:highlight w:val="none"/>
              </w:rPr>
              <w:t>（10分）</w:t>
            </w:r>
          </w:p>
        </w:tc>
        <w:tc>
          <w:tcPr>
            <w:tcW w:w="6919" w:type="dxa"/>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售后服务能力，根据响应供应商售后服务承诺、售后服务流程、保障及措施、售后服务单位的本地化机构设立、人员、场所等详细描述并提供证明材料，由评委进行横向比较，酌情打分。</w:t>
            </w:r>
          </w:p>
          <w:p>
            <w:pPr>
              <w:widowControl/>
              <w:rPr>
                <w:rFonts w:ascii="宋体" w:hAnsi="宋体" w:cs="宋体"/>
                <w:color w:val="auto"/>
                <w:kern w:val="0"/>
                <w:sz w:val="24"/>
                <w:highlight w:val="none"/>
              </w:rPr>
            </w:pPr>
            <w:r>
              <w:rPr>
                <w:rFonts w:hint="eastAsia" w:ascii="宋体" w:hAnsi="宋体" w:cs="宋体"/>
                <w:color w:val="auto"/>
                <w:kern w:val="0"/>
                <w:sz w:val="24"/>
                <w:highlight w:val="none"/>
              </w:rPr>
              <w:t>售后服务方案细致合理全面，完全响应需求，排除错误能及时且到位，现场技术支持服务多，能够最早到达现场且有完整合理的临时应急及保障措施的得10分；</w:t>
            </w:r>
          </w:p>
          <w:p>
            <w:pPr>
              <w:widowControl/>
              <w:rPr>
                <w:rFonts w:ascii="宋体" w:hAnsi="宋体" w:cs="宋体"/>
                <w:color w:val="auto"/>
                <w:kern w:val="0"/>
                <w:sz w:val="24"/>
                <w:highlight w:val="none"/>
              </w:rPr>
            </w:pPr>
            <w:r>
              <w:rPr>
                <w:rFonts w:hint="eastAsia" w:ascii="宋体" w:hAnsi="宋体" w:cs="宋体"/>
                <w:color w:val="auto"/>
                <w:kern w:val="0"/>
                <w:sz w:val="24"/>
                <w:highlight w:val="none"/>
              </w:rPr>
              <w:t>方案较为完整，基本响应需求得6分；</w:t>
            </w:r>
          </w:p>
          <w:p>
            <w:pPr>
              <w:widowControl/>
              <w:jc w:val="left"/>
              <w:rPr>
                <w:rFonts w:ascii="宋体" w:hAnsi="宋体" w:cs="宋体"/>
                <w:color w:val="auto"/>
                <w:sz w:val="24"/>
                <w:highlight w:val="none"/>
              </w:rPr>
            </w:pPr>
            <w:r>
              <w:rPr>
                <w:rFonts w:hint="eastAsia" w:ascii="宋体" w:hAnsi="宋体" w:cs="宋体"/>
                <w:color w:val="auto"/>
                <w:kern w:val="0"/>
                <w:sz w:val="24"/>
                <w:highlight w:val="none"/>
              </w:rPr>
              <w:t>方案不完整、响应度一般、可行性一般得2分；未提供者不得分。</w:t>
            </w:r>
          </w:p>
        </w:tc>
      </w:tr>
    </w:tbl>
    <w:p>
      <w:pPr>
        <w:snapToGrid w:val="0"/>
        <w:spacing w:line="360" w:lineRule="auto"/>
        <w:outlineLvl w:val="1"/>
        <w:rPr>
          <w:b/>
          <w:bCs/>
          <w:color w:val="auto"/>
          <w:sz w:val="24"/>
        </w:rPr>
      </w:pPr>
    </w:p>
    <w:p>
      <w:pPr>
        <w:snapToGrid w:val="0"/>
        <w:spacing w:line="360" w:lineRule="auto"/>
        <w:ind w:firstLine="482" w:firstLineChars="200"/>
        <w:outlineLvl w:val="1"/>
        <w:rPr>
          <w:b/>
          <w:bCs/>
          <w:color w:val="auto"/>
          <w:sz w:val="24"/>
        </w:rPr>
      </w:pPr>
      <w:r>
        <w:rPr>
          <w:rFonts w:hint="eastAsia"/>
          <w:b/>
          <w:bCs/>
          <w:color w:val="auto"/>
          <w:sz w:val="24"/>
        </w:rPr>
        <w:t>五、其他</w:t>
      </w:r>
    </w:p>
    <w:p>
      <w:pPr>
        <w:pStyle w:val="94"/>
        <w:ind w:firstLine="480" w:firstLineChars="200"/>
        <w:rPr>
          <w:rFonts w:cs="楷体"/>
          <w:b w:val="0"/>
          <w:bCs/>
          <w:color w:val="auto"/>
          <w:sz w:val="24"/>
          <w:szCs w:val="24"/>
        </w:rPr>
      </w:pPr>
      <w:r>
        <w:rPr>
          <w:rFonts w:hint="eastAsia" w:cs="楷体"/>
          <w:b w:val="0"/>
          <w:bCs/>
          <w:color w:val="auto"/>
          <w:sz w:val="24"/>
          <w:szCs w:val="24"/>
        </w:rPr>
        <w:t>本项目第一中标候选人原则上为中标人。当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r>
        <w:rPr>
          <w:rFonts w:cs="楷体"/>
          <w:b w:val="0"/>
          <w:bCs/>
          <w:color w:val="auto"/>
          <w:sz w:val="24"/>
          <w:szCs w:val="24"/>
        </w:rPr>
        <w:t xml:space="preserve">       </w:t>
      </w:r>
    </w:p>
    <w:p>
      <w:pPr>
        <w:pStyle w:val="94"/>
        <w:ind w:firstLine="480" w:firstLineChars="200"/>
        <w:rPr>
          <w:rFonts w:cs="楷体"/>
          <w:b w:val="0"/>
          <w:bCs/>
          <w:color w:val="auto"/>
          <w:sz w:val="24"/>
          <w:szCs w:val="24"/>
        </w:rPr>
      </w:pPr>
      <w:r>
        <w:rPr>
          <w:rFonts w:hint="eastAsia" w:cs="楷体"/>
          <w:b w:val="0"/>
          <w:bCs/>
          <w:color w:val="auto"/>
          <w:sz w:val="24"/>
          <w:szCs w:val="24"/>
        </w:rPr>
        <w:t>评标过程中出现本评标办法未尽事宜，由评标委员会根据有关法律、法规讨论决定。</w:t>
      </w:r>
    </w:p>
    <w:p>
      <w:pPr>
        <w:pStyle w:val="94"/>
        <w:ind w:firstLine="482" w:firstLineChars="200"/>
        <w:rPr>
          <w:rFonts w:cs="楷体"/>
          <w:color w:val="auto"/>
          <w:sz w:val="24"/>
          <w:szCs w:val="24"/>
        </w:rPr>
      </w:pPr>
      <w:r>
        <w:rPr>
          <w:rFonts w:hint="eastAsia" w:cs="楷体"/>
          <w:color w:val="auto"/>
          <w:sz w:val="24"/>
          <w:szCs w:val="24"/>
        </w:rPr>
        <w:t>六、公告中标结果</w:t>
      </w:r>
    </w:p>
    <w:p>
      <w:pPr>
        <w:pStyle w:val="94"/>
        <w:ind w:firstLine="480" w:firstLineChars="200"/>
        <w:rPr>
          <w:rFonts w:cs="楷体"/>
          <w:b w:val="0"/>
          <w:bCs/>
          <w:color w:val="auto"/>
          <w:sz w:val="24"/>
          <w:szCs w:val="24"/>
        </w:rPr>
      </w:pPr>
      <w:r>
        <w:rPr>
          <w:rFonts w:hint="eastAsia" w:cs="楷体"/>
          <w:b w:val="0"/>
          <w:bCs/>
          <w:color w:val="auto"/>
          <w:sz w:val="24"/>
          <w:szCs w:val="24"/>
        </w:rPr>
        <w:t>自确定中标供应商之日起2个工作日内，在南通市农业农村局网公告中标结果，公告期限为1个工作日。</w:t>
      </w:r>
    </w:p>
    <w:p>
      <w:pPr>
        <w:pStyle w:val="94"/>
        <w:ind w:firstLine="482" w:firstLineChars="200"/>
        <w:rPr>
          <w:rFonts w:cs="楷体"/>
          <w:color w:val="auto"/>
          <w:sz w:val="24"/>
          <w:szCs w:val="24"/>
        </w:rPr>
      </w:pPr>
      <w:r>
        <w:rPr>
          <w:rFonts w:hint="eastAsia" w:cs="楷体"/>
          <w:color w:val="auto"/>
          <w:sz w:val="24"/>
          <w:szCs w:val="24"/>
        </w:rPr>
        <w:t>七、发放中标通知书</w:t>
      </w:r>
    </w:p>
    <w:p>
      <w:pPr>
        <w:pStyle w:val="94"/>
        <w:ind w:firstLine="480" w:firstLineChars="200"/>
        <w:rPr>
          <w:rFonts w:cs="楷体"/>
          <w:b w:val="0"/>
          <w:bCs/>
          <w:color w:val="auto"/>
          <w:sz w:val="24"/>
          <w:szCs w:val="24"/>
        </w:rPr>
      </w:pPr>
      <w:r>
        <w:rPr>
          <w:rFonts w:hint="eastAsia" w:cs="楷体"/>
          <w:b w:val="0"/>
          <w:bCs/>
          <w:color w:val="auto"/>
          <w:sz w:val="24"/>
          <w:szCs w:val="24"/>
        </w:rPr>
        <w:t>公告中标结果的同时，采购人向中标供应商发放中标通知书。中标通知书发出后，采购人不得违法改变中标结果，中标供应商无正当理由不得放弃成交。</w:t>
      </w:r>
    </w:p>
    <w:p>
      <w:pPr>
        <w:adjustRightInd w:val="0"/>
        <w:snapToGrid w:val="0"/>
        <w:spacing w:line="500" w:lineRule="exact"/>
        <w:jc w:val="center"/>
        <w:outlineLvl w:val="0"/>
        <w:rPr>
          <w:rFonts w:ascii="宋体" w:hAnsi="宋体" w:cs="仿宋"/>
          <w:bCs/>
          <w:color w:val="auto"/>
          <w:sz w:val="36"/>
          <w:szCs w:val="36"/>
        </w:rPr>
      </w:pPr>
      <w:r>
        <w:rPr>
          <w:rFonts w:hint="eastAsia" w:ascii="宋体" w:hAnsi="宋体" w:cs="仿宋"/>
          <w:b/>
          <w:color w:val="auto"/>
          <w:sz w:val="24"/>
        </w:rPr>
        <w:br w:type="page"/>
      </w:r>
      <w:r>
        <w:rPr>
          <w:rFonts w:hint="eastAsia" w:ascii="宋体" w:hAnsi="宋体" w:cs="仿宋"/>
          <w:bCs/>
          <w:color w:val="auto"/>
          <w:sz w:val="36"/>
          <w:szCs w:val="36"/>
        </w:rPr>
        <w:t>第五部分  响应文件组成</w:t>
      </w:r>
    </w:p>
    <w:p>
      <w:pPr>
        <w:adjustRightInd w:val="0"/>
        <w:snapToGrid w:val="0"/>
        <w:spacing w:line="500" w:lineRule="exact"/>
        <w:ind w:firstLine="555"/>
        <w:jc w:val="left"/>
        <w:rPr>
          <w:rFonts w:ascii="宋体" w:hAnsi="宋体" w:cs="仿宋"/>
          <w:b/>
          <w:color w:val="auto"/>
          <w:sz w:val="24"/>
        </w:rPr>
      </w:pPr>
    </w:p>
    <w:p>
      <w:pPr>
        <w:adjustRightInd w:val="0"/>
        <w:snapToGrid w:val="0"/>
        <w:spacing w:line="460" w:lineRule="exact"/>
        <w:ind w:firstLine="482" w:firstLineChars="200"/>
        <w:jc w:val="left"/>
        <w:rPr>
          <w:rFonts w:ascii="宋体" w:hAnsi="宋体" w:cs="仿宋"/>
          <w:b/>
          <w:color w:val="auto"/>
          <w:sz w:val="24"/>
        </w:rPr>
      </w:pPr>
      <w:r>
        <w:rPr>
          <w:rFonts w:hint="eastAsia" w:ascii="宋体" w:hAnsi="宋体" w:cs="仿宋"/>
          <w:b/>
          <w:color w:val="auto"/>
          <w:sz w:val="24"/>
        </w:rPr>
        <w:t>响应文件由资格审查证明材料、商务技术文件、价格文件三部分组成。</w:t>
      </w:r>
    </w:p>
    <w:p>
      <w:pPr>
        <w:adjustRightInd w:val="0"/>
        <w:snapToGrid w:val="0"/>
        <w:spacing w:line="460" w:lineRule="exact"/>
        <w:ind w:firstLine="482" w:firstLineChars="200"/>
        <w:rPr>
          <w:rFonts w:ascii="宋体" w:hAnsi="宋体" w:cs="仿宋"/>
          <w:b/>
          <w:bCs/>
          <w:color w:val="auto"/>
          <w:kern w:val="0"/>
          <w:sz w:val="24"/>
          <w:lang w:val="zh-CN"/>
        </w:rPr>
      </w:pPr>
      <w:r>
        <w:rPr>
          <w:rFonts w:hint="eastAsia" w:ascii="宋体" w:hAnsi="宋体" w:cs="仿宋"/>
          <w:b/>
          <w:bCs/>
          <w:color w:val="auto"/>
          <w:kern w:val="0"/>
          <w:sz w:val="24"/>
          <w:lang w:val="zh-CN"/>
        </w:rPr>
        <w:t>一、资格审查证明材料（不能出现商务技术文件、价格文件）</w:t>
      </w:r>
    </w:p>
    <w:p>
      <w:pPr>
        <w:adjustRightInd w:val="0"/>
        <w:snapToGrid w:val="0"/>
        <w:spacing w:line="460" w:lineRule="exact"/>
        <w:ind w:firstLine="480" w:firstLineChars="200"/>
        <w:rPr>
          <w:rFonts w:ascii="宋体" w:hAnsi="宋体" w:cs="仿宋"/>
          <w:color w:val="auto"/>
          <w:kern w:val="0"/>
          <w:sz w:val="24"/>
          <w:lang w:val="zh-CN"/>
        </w:rPr>
      </w:pPr>
      <w:r>
        <w:rPr>
          <w:rFonts w:hint="eastAsia" w:ascii="宋体" w:hAnsi="宋体" w:cs="仿宋"/>
          <w:color w:val="auto"/>
          <w:kern w:val="0"/>
          <w:sz w:val="24"/>
          <w:lang w:val="zh-CN"/>
        </w:rPr>
        <w:t>1.</w:t>
      </w:r>
      <w:r>
        <w:rPr>
          <w:rFonts w:hint="eastAsia" w:ascii="宋体" w:hAnsi="宋体" w:cs="仿宋"/>
          <w:color w:val="auto"/>
          <w:kern w:val="0"/>
          <w:sz w:val="24"/>
        </w:rPr>
        <w:t>投标人符合《政府采购法》第二十二条规定条件的承诺函</w:t>
      </w:r>
      <w:r>
        <w:rPr>
          <w:rFonts w:hint="eastAsia" w:ascii="宋体" w:hAnsi="宋体" w:cs="仿宋"/>
          <w:color w:val="auto"/>
          <w:kern w:val="0"/>
          <w:sz w:val="24"/>
          <w:lang w:val="zh-CN"/>
        </w:rPr>
        <w:t>（格式见附件1）；</w:t>
      </w:r>
    </w:p>
    <w:p>
      <w:pPr>
        <w:adjustRightInd w:val="0"/>
        <w:snapToGrid w:val="0"/>
        <w:spacing w:line="460" w:lineRule="exact"/>
        <w:ind w:firstLine="480" w:firstLineChars="200"/>
        <w:rPr>
          <w:rFonts w:ascii="宋体" w:hAnsi="宋体" w:cs="仿宋"/>
          <w:color w:val="auto"/>
          <w:kern w:val="0"/>
          <w:sz w:val="24"/>
          <w:lang w:val="zh-CN"/>
        </w:rPr>
      </w:pPr>
      <w:r>
        <w:rPr>
          <w:rFonts w:hint="eastAsia" w:ascii="宋体" w:hAnsi="宋体" w:cs="仿宋"/>
          <w:color w:val="auto"/>
          <w:kern w:val="0"/>
          <w:sz w:val="24"/>
          <w:lang w:val="zh-CN"/>
        </w:rPr>
        <w:t>2.法定代表人身份证明书（格式见附件2）；</w:t>
      </w:r>
    </w:p>
    <w:p>
      <w:pPr>
        <w:adjustRightInd w:val="0"/>
        <w:snapToGrid w:val="0"/>
        <w:spacing w:line="460" w:lineRule="exact"/>
        <w:ind w:firstLine="480" w:firstLineChars="200"/>
        <w:rPr>
          <w:rFonts w:ascii="宋体" w:hAnsi="宋体" w:cs="仿宋"/>
          <w:color w:val="auto"/>
          <w:kern w:val="0"/>
          <w:sz w:val="24"/>
          <w:lang w:val="zh-CN"/>
        </w:rPr>
      </w:pPr>
      <w:r>
        <w:rPr>
          <w:rFonts w:hint="eastAsia" w:ascii="宋体" w:hAnsi="宋体" w:cs="仿宋"/>
          <w:color w:val="auto"/>
          <w:kern w:val="0"/>
          <w:sz w:val="24"/>
          <w:lang w:val="zh-CN"/>
        </w:rPr>
        <w:t>3.法定代表人授权委托书原件，授权代表本人身份证复印件（格式见附件3）；</w:t>
      </w:r>
    </w:p>
    <w:p>
      <w:pPr>
        <w:adjustRightInd w:val="0"/>
        <w:snapToGrid w:val="0"/>
        <w:spacing w:line="460" w:lineRule="exact"/>
        <w:ind w:firstLine="480" w:firstLineChars="200"/>
        <w:rPr>
          <w:rFonts w:ascii="宋体" w:hAnsi="宋体" w:cs="仿宋"/>
          <w:color w:val="auto"/>
          <w:kern w:val="0"/>
          <w:sz w:val="24"/>
          <w:lang w:val="zh-CN"/>
        </w:rPr>
      </w:pPr>
      <w:r>
        <w:rPr>
          <w:rFonts w:hint="eastAsia" w:ascii="宋体" w:hAnsi="宋体" w:cs="仿宋"/>
          <w:color w:val="auto"/>
          <w:kern w:val="0"/>
          <w:sz w:val="24"/>
          <w:lang w:val="zh-CN"/>
        </w:rPr>
        <w:t>4.有效的营业执照复印件加盖公章；</w:t>
      </w:r>
    </w:p>
    <w:p>
      <w:pPr>
        <w:adjustRightInd w:val="0"/>
        <w:snapToGrid w:val="0"/>
        <w:spacing w:line="460" w:lineRule="exact"/>
        <w:ind w:firstLine="480" w:firstLineChars="200"/>
        <w:rPr>
          <w:rFonts w:ascii="宋体" w:hAnsi="宋体" w:cs="仿宋"/>
          <w:color w:val="auto"/>
          <w:kern w:val="0"/>
          <w:sz w:val="24"/>
          <w:lang w:val="zh-CN"/>
        </w:rPr>
      </w:pPr>
      <w:r>
        <w:rPr>
          <w:rFonts w:hint="eastAsia" w:ascii="宋体" w:hAnsi="宋体" w:cs="仿宋"/>
          <w:color w:val="auto"/>
          <w:kern w:val="0"/>
          <w:sz w:val="24"/>
          <w:lang w:val="zh-CN"/>
        </w:rPr>
        <w:t>5</w:t>
      </w:r>
      <w:r>
        <w:rPr>
          <w:rFonts w:ascii="宋体" w:hAnsi="宋体" w:cs="仿宋"/>
          <w:color w:val="auto"/>
          <w:kern w:val="0"/>
          <w:sz w:val="24"/>
          <w:lang w:val="zh-CN"/>
        </w:rPr>
        <w:t>.</w:t>
      </w:r>
      <w:r>
        <w:rPr>
          <w:rFonts w:hint="eastAsia" w:ascii="宋体" w:hAnsi="宋体" w:cs="仿宋"/>
          <w:color w:val="auto"/>
          <w:kern w:val="0"/>
          <w:sz w:val="24"/>
          <w:lang w:val="zh-CN"/>
        </w:rPr>
        <w:t>关于资格的声明函（格式见附件</w:t>
      </w:r>
      <w:r>
        <w:rPr>
          <w:rFonts w:ascii="宋体" w:hAnsi="宋体" w:cs="仿宋"/>
          <w:color w:val="auto"/>
          <w:kern w:val="0"/>
          <w:sz w:val="24"/>
          <w:lang w:val="zh-CN"/>
        </w:rPr>
        <w:t>4</w:t>
      </w:r>
      <w:r>
        <w:rPr>
          <w:rFonts w:hint="eastAsia" w:ascii="宋体" w:hAnsi="宋体" w:cs="仿宋"/>
          <w:color w:val="auto"/>
          <w:kern w:val="0"/>
          <w:sz w:val="24"/>
          <w:lang w:val="zh-CN"/>
        </w:rPr>
        <w:t>）；</w:t>
      </w:r>
    </w:p>
    <w:p>
      <w:pPr>
        <w:adjustRightInd w:val="0"/>
        <w:snapToGrid w:val="0"/>
        <w:spacing w:line="460" w:lineRule="exact"/>
        <w:ind w:firstLine="480" w:firstLineChars="200"/>
        <w:rPr>
          <w:rFonts w:ascii="宋体" w:hAnsi="宋体" w:cs="仿宋"/>
          <w:color w:val="auto"/>
          <w:kern w:val="0"/>
          <w:sz w:val="24"/>
        </w:rPr>
      </w:pPr>
      <w:r>
        <w:rPr>
          <w:rFonts w:hint="eastAsia" w:ascii="宋体" w:hAnsi="宋体" w:cs="仿宋"/>
          <w:color w:val="auto"/>
          <w:kern w:val="0"/>
          <w:sz w:val="24"/>
          <w:lang w:val="zh-CN"/>
        </w:rPr>
        <w:t>6</w:t>
      </w:r>
      <w:r>
        <w:rPr>
          <w:rFonts w:ascii="宋体" w:hAnsi="宋体" w:cs="仿宋"/>
          <w:color w:val="auto"/>
          <w:kern w:val="0"/>
          <w:sz w:val="24"/>
          <w:lang w:val="zh-CN"/>
        </w:rPr>
        <w:t>.参加采购</w:t>
      </w:r>
      <w:r>
        <w:rPr>
          <w:color w:val="auto"/>
          <w:sz w:val="24"/>
        </w:rPr>
        <w:t>活动前</w:t>
      </w:r>
      <w:r>
        <w:rPr>
          <w:rFonts w:hint="eastAsia"/>
          <w:color w:val="auto"/>
          <w:sz w:val="24"/>
        </w:rPr>
        <w:t>无</w:t>
      </w:r>
      <w:r>
        <w:rPr>
          <w:color w:val="auto"/>
          <w:sz w:val="24"/>
        </w:rPr>
        <w:t>失信记录的书面声明</w:t>
      </w:r>
      <w:r>
        <w:rPr>
          <w:rFonts w:hint="eastAsia" w:ascii="宋体" w:hAnsi="宋体" w:cs="仿宋"/>
          <w:color w:val="auto"/>
          <w:kern w:val="0"/>
          <w:sz w:val="24"/>
          <w:lang w:val="zh-CN"/>
        </w:rPr>
        <w:t>（格式见附件</w:t>
      </w:r>
      <w:r>
        <w:rPr>
          <w:rFonts w:ascii="宋体" w:hAnsi="宋体" w:cs="仿宋"/>
          <w:color w:val="auto"/>
          <w:kern w:val="0"/>
          <w:sz w:val="24"/>
          <w:lang w:val="zh-CN"/>
        </w:rPr>
        <w:t>5</w:t>
      </w:r>
      <w:r>
        <w:rPr>
          <w:rFonts w:hint="eastAsia" w:ascii="宋体" w:hAnsi="宋体" w:cs="仿宋"/>
          <w:color w:val="auto"/>
          <w:kern w:val="0"/>
          <w:sz w:val="24"/>
          <w:lang w:val="zh-CN"/>
        </w:rPr>
        <w:t>）</w:t>
      </w:r>
      <w:r>
        <w:rPr>
          <w:rFonts w:hint="eastAsia" w:ascii="宋体" w:hAnsi="宋体" w:cs="仿宋"/>
          <w:color w:val="auto"/>
          <w:kern w:val="0"/>
          <w:sz w:val="24"/>
        </w:rPr>
        <w:t>。</w:t>
      </w:r>
    </w:p>
    <w:p>
      <w:pPr>
        <w:adjustRightInd w:val="0"/>
        <w:snapToGrid w:val="0"/>
        <w:spacing w:line="460" w:lineRule="exact"/>
        <w:ind w:firstLine="482" w:firstLineChars="200"/>
        <w:rPr>
          <w:rFonts w:ascii="宋体" w:hAnsi="宋体" w:cs="仿宋"/>
          <w:b/>
          <w:bCs/>
          <w:color w:val="auto"/>
          <w:kern w:val="0"/>
          <w:sz w:val="24"/>
          <w:lang w:val="zh-CN"/>
        </w:rPr>
      </w:pPr>
      <w:r>
        <w:rPr>
          <w:rFonts w:hint="eastAsia" w:ascii="宋体" w:hAnsi="宋体" w:cs="仿宋"/>
          <w:b/>
          <w:bCs/>
          <w:color w:val="auto"/>
          <w:kern w:val="0"/>
          <w:sz w:val="24"/>
          <w:lang w:val="zh-CN"/>
        </w:rPr>
        <w:t>二、商务技术文件（不能出现价格文件）</w:t>
      </w:r>
    </w:p>
    <w:p>
      <w:pPr>
        <w:adjustRightInd w:val="0"/>
        <w:snapToGrid w:val="0"/>
        <w:spacing w:line="460" w:lineRule="exact"/>
        <w:ind w:firstLine="480" w:firstLineChars="200"/>
        <w:rPr>
          <w:rFonts w:ascii="宋体" w:hAnsi="宋体" w:cs="仿宋"/>
          <w:bCs/>
          <w:color w:val="auto"/>
          <w:kern w:val="0"/>
          <w:sz w:val="24"/>
        </w:rPr>
      </w:pPr>
      <w:r>
        <w:rPr>
          <w:rFonts w:hint="eastAsia" w:ascii="宋体" w:hAnsi="宋体" w:cs="仿宋"/>
          <w:bCs/>
          <w:color w:val="auto"/>
          <w:kern w:val="0"/>
          <w:sz w:val="24"/>
        </w:rPr>
        <w:t>1.商务技术评分标准中须提供的相关得分佐证材料；</w:t>
      </w:r>
    </w:p>
    <w:p>
      <w:pPr>
        <w:adjustRightInd w:val="0"/>
        <w:snapToGrid w:val="0"/>
        <w:spacing w:line="460" w:lineRule="exact"/>
        <w:ind w:firstLine="480" w:firstLineChars="200"/>
        <w:rPr>
          <w:rFonts w:ascii="宋体" w:hAnsi="宋体" w:cs="仿宋"/>
          <w:bCs/>
          <w:color w:val="auto"/>
          <w:kern w:val="0"/>
          <w:sz w:val="24"/>
        </w:rPr>
      </w:pPr>
      <w:r>
        <w:rPr>
          <w:rFonts w:hint="eastAsia" w:ascii="宋体" w:hAnsi="宋体" w:cs="仿宋"/>
          <w:bCs/>
          <w:color w:val="auto"/>
          <w:kern w:val="0"/>
          <w:sz w:val="24"/>
        </w:rPr>
        <w:t>2.供应商认为需要提交的其他商务技术材料。</w:t>
      </w:r>
    </w:p>
    <w:p>
      <w:pPr>
        <w:adjustRightInd w:val="0"/>
        <w:snapToGrid w:val="0"/>
        <w:spacing w:line="460" w:lineRule="exact"/>
        <w:ind w:firstLine="482" w:firstLineChars="200"/>
        <w:rPr>
          <w:rFonts w:ascii="宋体" w:hAnsi="宋体" w:cs="仿宋"/>
          <w:b/>
          <w:bCs/>
          <w:color w:val="auto"/>
          <w:kern w:val="0"/>
          <w:sz w:val="24"/>
          <w:lang w:val="zh-CN"/>
        </w:rPr>
      </w:pPr>
      <w:r>
        <w:rPr>
          <w:rFonts w:hint="eastAsia" w:ascii="宋体" w:hAnsi="宋体" w:cs="仿宋"/>
          <w:b/>
          <w:bCs/>
          <w:color w:val="auto"/>
          <w:kern w:val="0"/>
          <w:sz w:val="24"/>
          <w:lang w:val="zh-CN"/>
        </w:rPr>
        <w:t>三、价格文件</w:t>
      </w:r>
    </w:p>
    <w:p>
      <w:pPr>
        <w:adjustRightInd w:val="0"/>
        <w:snapToGrid w:val="0"/>
        <w:spacing w:line="460" w:lineRule="exact"/>
        <w:ind w:firstLine="480" w:firstLineChars="200"/>
        <w:rPr>
          <w:rFonts w:ascii="宋体" w:hAnsi="宋体" w:cs="仿宋"/>
          <w:color w:val="auto"/>
          <w:sz w:val="24"/>
        </w:rPr>
      </w:pPr>
      <w:r>
        <w:rPr>
          <w:rFonts w:hint="eastAsia" w:ascii="宋体" w:hAnsi="宋体" w:cs="仿宋"/>
          <w:color w:val="auto"/>
          <w:kern w:val="0"/>
          <w:sz w:val="24"/>
          <w:lang w:val="zh-CN"/>
        </w:rPr>
        <w:t>1.</w:t>
      </w:r>
      <w:r>
        <w:rPr>
          <w:rFonts w:hint="eastAsia" w:ascii="宋体" w:hAnsi="宋体" w:cs="仿宋"/>
          <w:color w:val="auto"/>
          <w:kern w:val="0"/>
          <w:sz w:val="24"/>
        </w:rPr>
        <w:t>报价总表</w:t>
      </w:r>
      <w:r>
        <w:rPr>
          <w:rFonts w:hint="eastAsia" w:ascii="宋体" w:hAnsi="宋体" w:cs="仿宋"/>
          <w:color w:val="auto"/>
          <w:kern w:val="0"/>
          <w:sz w:val="24"/>
          <w:lang w:val="zh-CN"/>
        </w:rPr>
        <w:t>（格式见附件</w:t>
      </w:r>
      <w:r>
        <w:rPr>
          <w:rFonts w:hint="eastAsia" w:ascii="宋体" w:hAnsi="宋体" w:cs="仿宋"/>
          <w:color w:val="auto"/>
          <w:kern w:val="0"/>
          <w:sz w:val="24"/>
        </w:rPr>
        <w:t>6</w:t>
      </w:r>
      <w:r>
        <w:rPr>
          <w:rFonts w:hint="eastAsia" w:ascii="宋体" w:hAnsi="宋体" w:cs="仿宋"/>
          <w:color w:val="auto"/>
          <w:kern w:val="0"/>
          <w:sz w:val="24"/>
          <w:lang w:val="zh-CN"/>
        </w:rPr>
        <w:t>）；</w:t>
      </w:r>
    </w:p>
    <w:p>
      <w:pPr>
        <w:snapToGrid w:val="0"/>
        <w:spacing w:line="400" w:lineRule="exact"/>
        <w:ind w:firstLine="460" w:firstLineChars="192"/>
        <w:contextualSpacing/>
        <w:rPr>
          <w:rFonts w:ascii="宋体" w:hAnsi="宋体" w:cs="仿宋"/>
          <w:b/>
          <w:color w:val="auto"/>
          <w:kern w:val="0"/>
          <w:sz w:val="24"/>
        </w:rPr>
      </w:pPr>
      <w:r>
        <w:rPr>
          <w:rFonts w:hint="eastAsia" w:ascii="宋体" w:hAnsi="宋体" w:cs="仿宋"/>
          <w:bCs/>
          <w:color w:val="auto"/>
          <w:kern w:val="0"/>
          <w:sz w:val="24"/>
        </w:rPr>
        <w:t>2.报价明细表</w:t>
      </w:r>
      <w:r>
        <w:rPr>
          <w:rFonts w:hint="eastAsia" w:ascii="宋体" w:hAnsi="宋体" w:cs="仿宋"/>
          <w:b/>
          <w:color w:val="auto"/>
          <w:kern w:val="0"/>
          <w:sz w:val="24"/>
        </w:rPr>
        <w:t>（按第三章项目需求清单报价，格式自拟）。</w:t>
      </w:r>
    </w:p>
    <w:p>
      <w:pPr>
        <w:snapToGrid w:val="0"/>
        <w:spacing w:line="400" w:lineRule="exact"/>
        <w:ind w:firstLine="463" w:firstLineChars="192"/>
        <w:contextualSpacing/>
        <w:rPr>
          <w:rFonts w:ascii="宋体" w:hAnsi="宋体" w:cs="仿宋"/>
          <w:b/>
          <w:color w:val="auto"/>
          <w:kern w:val="0"/>
          <w:sz w:val="24"/>
        </w:rPr>
      </w:pPr>
      <w:r>
        <w:rPr>
          <w:rFonts w:hint="eastAsia" w:ascii="宋体" w:hAnsi="宋体" w:cs="仿宋"/>
          <w:b/>
          <w:color w:val="auto"/>
          <w:kern w:val="0"/>
          <w:sz w:val="24"/>
        </w:rPr>
        <w:br w:type="page"/>
      </w:r>
    </w:p>
    <w:p>
      <w:pPr>
        <w:snapToGrid w:val="0"/>
        <w:spacing w:line="400" w:lineRule="exact"/>
        <w:contextualSpacing/>
        <w:rPr>
          <w:rFonts w:ascii="宋体" w:hAnsi="宋体" w:cs="仿宋"/>
          <w:color w:val="auto"/>
          <w:kern w:val="0"/>
          <w:sz w:val="24"/>
          <w:lang w:val="zh-CN"/>
        </w:rPr>
      </w:pPr>
      <w:r>
        <w:rPr>
          <w:rFonts w:hint="eastAsia" w:ascii="宋体" w:hAnsi="宋体" w:cs="仿宋"/>
          <w:color w:val="auto"/>
          <w:kern w:val="0"/>
          <w:sz w:val="24"/>
          <w:lang w:val="zh-CN"/>
        </w:rPr>
        <w:t>附件1</w:t>
      </w:r>
    </w:p>
    <w:p>
      <w:pPr>
        <w:rPr>
          <w:rFonts w:ascii="宋体" w:hAnsi="宋体" w:cs="仿宋"/>
          <w:b/>
          <w:color w:val="auto"/>
          <w:sz w:val="24"/>
        </w:rPr>
      </w:pPr>
    </w:p>
    <w:p>
      <w:pPr>
        <w:jc w:val="center"/>
        <w:rPr>
          <w:rFonts w:ascii="宋体" w:hAnsi="宋体" w:cs="仿宋"/>
          <w:b/>
          <w:color w:val="auto"/>
          <w:sz w:val="24"/>
        </w:rPr>
      </w:pPr>
      <w:r>
        <w:rPr>
          <w:rFonts w:hint="eastAsia" w:ascii="宋体" w:hAnsi="宋体" w:cs="仿宋"/>
          <w:b/>
          <w:color w:val="auto"/>
          <w:sz w:val="24"/>
        </w:rPr>
        <w:t>投标人符合《政府采购法》第二十二条规定条件的声明函</w:t>
      </w:r>
    </w:p>
    <w:p>
      <w:pPr>
        <w:spacing w:line="460" w:lineRule="exact"/>
        <w:rPr>
          <w:rFonts w:ascii="宋体" w:hAnsi="宋体" w:cs="仿宋"/>
          <w:b/>
          <w:bCs/>
          <w:color w:val="auto"/>
          <w:sz w:val="24"/>
        </w:rPr>
      </w:pPr>
    </w:p>
    <w:p>
      <w:pPr>
        <w:spacing w:line="460" w:lineRule="exact"/>
        <w:ind w:firstLine="480" w:firstLineChars="200"/>
        <w:rPr>
          <w:rFonts w:ascii="宋体" w:hAnsi="宋体" w:cs="仿宋"/>
          <w:b/>
          <w:bCs/>
          <w:color w:val="auto"/>
          <w:sz w:val="24"/>
        </w:rPr>
      </w:pPr>
      <w:r>
        <w:rPr>
          <w:rFonts w:hint="eastAsia" w:ascii="宋体" w:hAnsi="宋体" w:cs="仿宋"/>
          <w:bCs/>
          <w:color w:val="auto"/>
          <w:sz w:val="24"/>
        </w:rPr>
        <w:t>我单位参加</w:t>
      </w:r>
      <w:r>
        <w:rPr>
          <w:rFonts w:hint="eastAsia" w:ascii="宋体" w:hAnsi="宋体" w:cs="仿宋"/>
          <w:bCs/>
          <w:color w:val="auto"/>
          <w:sz w:val="24"/>
          <w:u w:val="single"/>
        </w:rPr>
        <w:t xml:space="preserve">                </w:t>
      </w:r>
      <w:r>
        <w:rPr>
          <w:rFonts w:hint="eastAsia" w:ascii="宋体" w:hAnsi="宋体" w:cs="仿宋"/>
          <w:bCs/>
          <w:color w:val="auto"/>
          <w:sz w:val="24"/>
        </w:rPr>
        <w:t>（项目名称），</w:t>
      </w:r>
      <w:r>
        <w:rPr>
          <w:rFonts w:hint="eastAsia" w:ascii="宋体" w:hAnsi="宋体" w:cs="仿宋"/>
          <w:bCs/>
          <w:color w:val="auto"/>
          <w:sz w:val="24"/>
          <w:u w:val="single"/>
        </w:rPr>
        <w:t xml:space="preserve">          </w:t>
      </w:r>
      <w:r>
        <w:rPr>
          <w:rFonts w:hint="eastAsia" w:ascii="宋体" w:hAnsi="宋体" w:cs="仿宋"/>
          <w:bCs/>
          <w:color w:val="auto"/>
          <w:sz w:val="24"/>
        </w:rPr>
        <w:t>（项目编号）投标活动。针对《中华人民共和国政府采购法》第二十二条规定做出如下声明：</w:t>
      </w:r>
    </w:p>
    <w:p>
      <w:pPr>
        <w:spacing w:line="460" w:lineRule="exact"/>
        <w:ind w:firstLine="480" w:firstLineChars="200"/>
        <w:rPr>
          <w:rFonts w:ascii="宋体" w:hAnsi="宋体" w:cs="仿宋"/>
          <w:color w:val="auto"/>
          <w:sz w:val="24"/>
        </w:rPr>
      </w:pPr>
      <w:r>
        <w:rPr>
          <w:rFonts w:hint="eastAsia" w:ascii="宋体" w:hAnsi="宋体" w:cs="仿宋"/>
          <w:bCs/>
          <w:color w:val="auto"/>
          <w:sz w:val="24"/>
        </w:rPr>
        <w:t>1.我单位具有独立承担民事责任的能力；</w:t>
      </w:r>
    </w:p>
    <w:p>
      <w:pPr>
        <w:spacing w:line="460" w:lineRule="exact"/>
        <w:ind w:firstLine="480" w:firstLineChars="200"/>
        <w:rPr>
          <w:rFonts w:ascii="宋体" w:hAnsi="宋体" w:cs="仿宋"/>
          <w:color w:val="auto"/>
          <w:sz w:val="24"/>
        </w:rPr>
      </w:pPr>
      <w:r>
        <w:rPr>
          <w:rFonts w:hint="eastAsia" w:ascii="宋体" w:hAnsi="宋体" w:cs="仿宋"/>
          <w:color w:val="auto"/>
          <w:sz w:val="24"/>
        </w:rPr>
        <w:t>2.我单位具有良好的商业信誉和健全的财务会计制度；</w:t>
      </w:r>
    </w:p>
    <w:p>
      <w:pPr>
        <w:spacing w:line="460" w:lineRule="exact"/>
        <w:ind w:firstLine="480" w:firstLineChars="200"/>
        <w:rPr>
          <w:rFonts w:ascii="宋体" w:hAnsi="宋体" w:cs="仿宋"/>
          <w:color w:val="auto"/>
          <w:sz w:val="24"/>
        </w:rPr>
      </w:pPr>
      <w:r>
        <w:rPr>
          <w:rFonts w:hint="eastAsia" w:ascii="宋体" w:hAnsi="宋体" w:cs="仿宋"/>
          <w:color w:val="auto"/>
          <w:sz w:val="24"/>
        </w:rPr>
        <w:t>3.我单位具有履行合同所必需的设备和专业技术能力；</w:t>
      </w:r>
    </w:p>
    <w:p>
      <w:pPr>
        <w:spacing w:line="460" w:lineRule="exact"/>
        <w:ind w:firstLine="480" w:firstLineChars="200"/>
        <w:rPr>
          <w:rFonts w:ascii="宋体" w:hAnsi="宋体" w:cs="仿宋"/>
          <w:color w:val="auto"/>
          <w:sz w:val="24"/>
        </w:rPr>
      </w:pPr>
      <w:r>
        <w:rPr>
          <w:rFonts w:hint="eastAsia" w:ascii="宋体" w:hAnsi="宋体" w:cs="仿宋"/>
          <w:color w:val="auto"/>
          <w:sz w:val="24"/>
        </w:rPr>
        <w:t>4.我单位有依法缴纳税收和社会保障资金的良好记录；</w:t>
      </w:r>
    </w:p>
    <w:p>
      <w:pPr>
        <w:spacing w:line="460" w:lineRule="exact"/>
        <w:ind w:firstLine="480" w:firstLineChars="200"/>
        <w:rPr>
          <w:rFonts w:ascii="宋体" w:hAnsi="宋体" w:cs="仿宋"/>
          <w:color w:val="auto"/>
          <w:sz w:val="24"/>
        </w:rPr>
      </w:pPr>
      <w:r>
        <w:rPr>
          <w:rFonts w:hint="eastAsia" w:ascii="宋体" w:hAnsi="宋体" w:cs="仿宋"/>
          <w:color w:val="auto"/>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460" w:lineRule="exact"/>
        <w:ind w:firstLine="480" w:firstLineChars="200"/>
        <w:rPr>
          <w:rFonts w:ascii="宋体" w:hAnsi="宋体" w:cs="仿宋"/>
          <w:color w:val="auto"/>
          <w:sz w:val="24"/>
        </w:rPr>
      </w:pPr>
      <w:r>
        <w:rPr>
          <w:rFonts w:hint="eastAsia" w:ascii="宋体" w:hAnsi="宋体" w:cs="仿宋"/>
          <w:color w:val="auto"/>
          <w:sz w:val="24"/>
        </w:rPr>
        <w:t>6.我单位满足法律、行政法规规定的其他条件。</w:t>
      </w:r>
    </w:p>
    <w:p>
      <w:pPr>
        <w:spacing w:line="460" w:lineRule="exact"/>
        <w:ind w:firstLine="480" w:firstLineChars="200"/>
        <w:rPr>
          <w:rFonts w:ascii="宋体" w:hAnsi="宋体" w:cs="仿宋"/>
          <w:color w:val="auto"/>
          <w:sz w:val="24"/>
        </w:rPr>
      </w:pPr>
    </w:p>
    <w:p>
      <w:pPr>
        <w:spacing w:line="460" w:lineRule="exact"/>
        <w:ind w:firstLine="480" w:firstLineChars="200"/>
        <w:rPr>
          <w:rFonts w:ascii="宋体" w:hAnsi="宋体" w:cs="仿宋"/>
          <w:color w:val="auto"/>
          <w:sz w:val="24"/>
        </w:rPr>
      </w:pPr>
    </w:p>
    <w:p>
      <w:pPr>
        <w:spacing w:line="460" w:lineRule="exact"/>
        <w:ind w:firstLine="480" w:firstLineChars="200"/>
        <w:rPr>
          <w:rFonts w:ascii="宋体" w:hAnsi="宋体" w:cs="仿宋"/>
          <w:bCs/>
          <w:color w:val="auto"/>
          <w:sz w:val="24"/>
        </w:rPr>
      </w:pPr>
    </w:p>
    <w:p>
      <w:pPr>
        <w:spacing w:line="460" w:lineRule="exact"/>
        <w:ind w:firstLine="480" w:firstLineChars="200"/>
        <w:rPr>
          <w:rFonts w:ascii="宋体" w:hAnsi="宋体" w:cs="仿宋"/>
          <w:bCs/>
          <w:color w:val="auto"/>
          <w:sz w:val="24"/>
        </w:rPr>
      </w:pPr>
    </w:p>
    <w:p>
      <w:pPr>
        <w:spacing w:line="460" w:lineRule="exact"/>
        <w:ind w:firstLine="480" w:firstLineChars="200"/>
        <w:rPr>
          <w:rFonts w:ascii="宋体" w:hAnsi="宋体" w:cs="仿宋"/>
          <w:bCs/>
          <w:color w:val="auto"/>
          <w:sz w:val="24"/>
        </w:rPr>
      </w:pPr>
    </w:p>
    <w:p>
      <w:pPr>
        <w:spacing w:line="460" w:lineRule="exact"/>
        <w:ind w:firstLine="480" w:firstLineChars="200"/>
        <w:jc w:val="center"/>
        <w:rPr>
          <w:rFonts w:ascii="宋体" w:hAnsi="宋体" w:cs="仿宋"/>
          <w:bCs/>
          <w:color w:val="auto"/>
          <w:sz w:val="24"/>
        </w:rPr>
      </w:pPr>
      <w:r>
        <w:rPr>
          <w:rFonts w:hint="eastAsia" w:ascii="宋体" w:hAnsi="宋体" w:cs="仿宋"/>
          <w:bCs/>
          <w:color w:val="auto"/>
          <w:sz w:val="24"/>
        </w:rPr>
        <w:t xml:space="preserve">                                             承诺人名称（公章）：</w:t>
      </w:r>
    </w:p>
    <w:p>
      <w:pPr>
        <w:spacing w:line="460" w:lineRule="exact"/>
        <w:ind w:firstLine="480" w:firstLineChars="200"/>
        <w:jc w:val="right"/>
        <w:rPr>
          <w:rFonts w:ascii="宋体" w:hAnsi="宋体" w:cs="仿宋"/>
          <w:bCs/>
          <w:color w:val="auto"/>
          <w:sz w:val="24"/>
        </w:rPr>
      </w:pPr>
    </w:p>
    <w:p>
      <w:pPr>
        <w:spacing w:line="460" w:lineRule="exact"/>
        <w:ind w:firstLine="480" w:firstLineChars="200"/>
        <w:jc w:val="right"/>
        <w:rPr>
          <w:rFonts w:ascii="宋体" w:hAnsi="宋体" w:cs="仿宋"/>
          <w:bCs/>
          <w:color w:val="auto"/>
          <w:sz w:val="24"/>
        </w:rPr>
      </w:pPr>
      <w:r>
        <w:rPr>
          <w:rFonts w:hint="eastAsia" w:ascii="宋体" w:hAnsi="宋体" w:cs="仿宋"/>
          <w:bCs/>
          <w:color w:val="auto"/>
          <w:sz w:val="24"/>
        </w:rPr>
        <w:t xml:space="preserve">                           日期：   年  月  日</w:t>
      </w:r>
    </w:p>
    <w:p>
      <w:pPr>
        <w:snapToGrid w:val="0"/>
        <w:spacing w:line="400" w:lineRule="exact"/>
        <w:ind w:firstLine="463" w:firstLineChars="192"/>
        <w:contextualSpacing/>
        <w:rPr>
          <w:rFonts w:ascii="宋体" w:hAnsi="宋体" w:cs="仿宋"/>
          <w:b/>
          <w:color w:val="auto"/>
          <w:kern w:val="0"/>
          <w:sz w:val="24"/>
        </w:rPr>
      </w:pPr>
    </w:p>
    <w:p>
      <w:pPr>
        <w:snapToGrid w:val="0"/>
        <w:spacing w:line="400" w:lineRule="exact"/>
        <w:ind w:firstLine="463" w:firstLineChars="192"/>
        <w:contextualSpacing/>
        <w:rPr>
          <w:rFonts w:ascii="宋体" w:hAnsi="宋体" w:cs="仿宋"/>
          <w:b/>
          <w:color w:val="auto"/>
          <w:kern w:val="0"/>
          <w:sz w:val="24"/>
          <w:lang w:val="zh-CN"/>
        </w:rPr>
      </w:pPr>
    </w:p>
    <w:p>
      <w:pPr>
        <w:snapToGrid w:val="0"/>
        <w:spacing w:line="400" w:lineRule="exact"/>
        <w:ind w:firstLine="463" w:firstLineChars="192"/>
        <w:contextualSpacing/>
        <w:rPr>
          <w:rFonts w:ascii="宋体" w:hAnsi="宋体" w:cs="仿宋"/>
          <w:b/>
          <w:color w:val="auto"/>
          <w:kern w:val="0"/>
          <w:sz w:val="24"/>
          <w:lang w:val="zh-CN"/>
        </w:rPr>
      </w:pPr>
    </w:p>
    <w:p>
      <w:pPr>
        <w:pStyle w:val="22"/>
        <w:ind w:firstLine="240"/>
        <w:rPr>
          <w:color w:val="auto"/>
          <w:lang w:val="zh-CN"/>
        </w:rPr>
      </w:pPr>
    </w:p>
    <w:p>
      <w:pPr>
        <w:snapToGrid w:val="0"/>
        <w:spacing w:line="400" w:lineRule="exact"/>
        <w:ind w:firstLine="463" w:firstLineChars="192"/>
        <w:contextualSpacing/>
        <w:rPr>
          <w:rFonts w:ascii="宋体" w:hAnsi="宋体" w:cs="仿宋"/>
          <w:b/>
          <w:color w:val="auto"/>
          <w:kern w:val="0"/>
          <w:sz w:val="24"/>
          <w:lang w:val="zh-CN"/>
        </w:rPr>
      </w:pPr>
    </w:p>
    <w:p>
      <w:pPr>
        <w:snapToGrid w:val="0"/>
        <w:spacing w:line="400" w:lineRule="exact"/>
        <w:contextualSpacing/>
        <w:rPr>
          <w:rFonts w:ascii="宋体" w:hAnsi="宋体" w:cs="仿宋"/>
          <w:color w:val="auto"/>
          <w:kern w:val="0"/>
          <w:sz w:val="24"/>
          <w:lang w:val="zh-CN"/>
        </w:rPr>
      </w:pPr>
    </w:p>
    <w:p>
      <w:pPr>
        <w:snapToGrid w:val="0"/>
        <w:spacing w:line="400" w:lineRule="exact"/>
        <w:contextualSpacing/>
        <w:rPr>
          <w:rFonts w:ascii="宋体" w:hAnsi="宋体" w:cs="仿宋"/>
          <w:color w:val="auto"/>
          <w:kern w:val="0"/>
          <w:sz w:val="24"/>
          <w:lang w:val="zh-CN"/>
        </w:rPr>
      </w:pPr>
    </w:p>
    <w:p>
      <w:pPr>
        <w:snapToGrid w:val="0"/>
        <w:spacing w:line="400" w:lineRule="exact"/>
        <w:contextualSpacing/>
        <w:rPr>
          <w:rFonts w:ascii="宋体" w:hAnsi="宋体" w:cs="仿宋"/>
          <w:color w:val="auto"/>
          <w:kern w:val="0"/>
          <w:sz w:val="24"/>
          <w:lang w:val="zh-CN"/>
        </w:rPr>
      </w:pPr>
      <w:r>
        <w:rPr>
          <w:rFonts w:hint="eastAsia" w:ascii="宋体" w:hAnsi="宋体" w:cs="仿宋"/>
          <w:color w:val="auto"/>
          <w:kern w:val="0"/>
          <w:sz w:val="24"/>
          <w:lang w:val="zh-CN"/>
        </w:rPr>
        <w:t>附件2</w:t>
      </w:r>
    </w:p>
    <w:p>
      <w:pPr>
        <w:spacing w:line="560" w:lineRule="exact"/>
        <w:jc w:val="center"/>
        <w:rPr>
          <w:rFonts w:ascii="宋体" w:hAnsi="宋体" w:cs="仿宋"/>
          <w:b/>
          <w:bCs/>
          <w:color w:val="auto"/>
          <w:sz w:val="24"/>
        </w:rPr>
      </w:pPr>
    </w:p>
    <w:p>
      <w:pPr>
        <w:spacing w:line="560" w:lineRule="exact"/>
        <w:jc w:val="center"/>
        <w:rPr>
          <w:rFonts w:ascii="宋体" w:hAnsi="宋体" w:cs="仿宋"/>
          <w:b/>
          <w:bCs/>
          <w:color w:val="auto"/>
          <w:sz w:val="24"/>
        </w:rPr>
      </w:pPr>
      <w:r>
        <w:rPr>
          <w:rFonts w:hint="eastAsia" w:ascii="宋体" w:hAnsi="宋体" w:cs="仿宋"/>
          <w:b/>
          <w:bCs/>
          <w:color w:val="auto"/>
          <w:sz w:val="24"/>
        </w:rPr>
        <w:t>法定代表人身份证明</w:t>
      </w:r>
    </w:p>
    <w:p>
      <w:pPr>
        <w:spacing w:line="480" w:lineRule="exact"/>
        <w:rPr>
          <w:rFonts w:ascii="宋体" w:hAnsi="宋体" w:cs="仿宋"/>
          <w:color w:val="auto"/>
          <w:sz w:val="24"/>
        </w:rPr>
      </w:pPr>
    </w:p>
    <w:p>
      <w:pPr>
        <w:spacing w:line="480" w:lineRule="exact"/>
        <w:ind w:firstLine="480" w:firstLineChars="200"/>
        <w:rPr>
          <w:rFonts w:ascii="宋体" w:hAnsi="宋体" w:cs="仿宋"/>
          <w:color w:val="auto"/>
          <w:sz w:val="24"/>
        </w:rPr>
      </w:pPr>
      <w:r>
        <w:rPr>
          <w:rFonts w:hint="eastAsia" w:ascii="宋体" w:hAnsi="宋体" w:cs="仿宋"/>
          <w:color w:val="auto"/>
          <w:sz w:val="24"/>
        </w:rPr>
        <w:t>先生/女士： 现任我单位职务，为法定代表人，特此证明。</w:t>
      </w:r>
    </w:p>
    <w:p>
      <w:pPr>
        <w:spacing w:line="480" w:lineRule="exact"/>
        <w:ind w:firstLine="480"/>
        <w:rPr>
          <w:rFonts w:ascii="宋体" w:hAnsi="宋体" w:cs="仿宋"/>
          <w:color w:val="auto"/>
          <w:sz w:val="24"/>
          <w:u w:val="single"/>
        </w:rPr>
      </w:pPr>
      <w:r>
        <w:rPr>
          <w:rFonts w:hint="eastAsia" w:ascii="宋体" w:hAnsi="宋体" w:cs="仿宋"/>
          <w:color w:val="auto"/>
          <w:sz w:val="24"/>
        </w:rPr>
        <w:t>身份证号码：</w:t>
      </w:r>
    </w:p>
    <w:p>
      <w:pPr>
        <w:spacing w:line="480" w:lineRule="exact"/>
        <w:ind w:firstLine="480"/>
        <w:rPr>
          <w:rFonts w:ascii="宋体" w:hAnsi="宋体" w:cs="仿宋"/>
          <w:color w:val="auto"/>
          <w:sz w:val="24"/>
        </w:rPr>
      </w:pPr>
    </w:p>
    <w:p>
      <w:pPr>
        <w:spacing w:line="600" w:lineRule="exact"/>
        <w:rPr>
          <w:rFonts w:ascii="宋体" w:hAnsi="宋体" w:cs="仿宋"/>
          <w:b/>
          <w:color w:val="auto"/>
          <w:sz w:val="24"/>
        </w:rPr>
      </w:pPr>
      <w:r>
        <w:rPr>
          <w:rFonts w:hint="eastAsia" w:ascii="宋体" w:hAnsi="宋体" w:cs="仿宋"/>
          <w:b/>
          <w:color w:val="auto"/>
          <w:sz w:val="24"/>
        </w:rPr>
        <w:t>注：提供法定代表人的身份证复印件盖公章</w:t>
      </w:r>
    </w:p>
    <w:p>
      <w:pPr>
        <w:spacing w:line="480" w:lineRule="exact"/>
        <w:ind w:firstLine="480" w:firstLineChars="200"/>
        <w:rPr>
          <w:rFonts w:ascii="宋体" w:hAnsi="宋体" w:cs="仿宋"/>
          <w:color w:val="auto"/>
          <w:sz w:val="24"/>
        </w:rPr>
      </w:pPr>
    </w:p>
    <w:p>
      <w:pPr>
        <w:rPr>
          <w:rFonts w:ascii="宋体" w:hAnsi="宋体" w:cs="仿宋"/>
          <w:color w:val="auto"/>
          <w:sz w:val="24"/>
        </w:rPr>
      </w:pPr>
    </w:p>
    <w:p>
      <w:pPr>
        <w:snapToGrid w:val="0"/>
        <w:spacing w:line="400" w:lineRule="exact"/>
        <w:ind w:firstLine="463" w:firstLineChars="192"/>
        <w:contextualSpacing/>
        <w:rPr>
          <w:rFonts w:ascii="宋体" w:hAnsi="宋体" w:cs="仿宋"/>
          <w:b/>
          <w:color w:val="auto"/>
          <w:kern w:val="0"/>
          <w:sz w:val="24"/>
        </w:rPr>
      </w:pPr>
    </w:p>
    <w:p>
      <w:pPr>
        <w:snapToGrid w:val="0"/>
        <w:spacing w:line="400" w:lineRule="exact"/>
        <w:ind w:firstLine="463" w:firstLineChars="192"/>
        <w:contextualSpacing/>
        <w:rPr>
          <w:rFonts w:ascii="宋体" w:hAnsi="宋体" w:cs="仿宋"/>
          <w:b/>
          <w:color w:val="auto"/>
          <w:kern w:val="0"/>
          <w:sz w:val="24"/>
          <w:lang w:val="zh-CN"/>
        </w:rPr>
      </w:pPr>
    </w:p>
    <w:p>
      <w:pPr>
        <w:snapToGrid w:val="0"/>
        <w:spacing w:line="400" w:lineRule="exact"/>
        <w:ind w:firstLine="463" w:firstLineChars="192"/>
        <w:contextualSpacing/>
        <w:rPr>
          <w:rFonts w:ascii="宋体" w:hAnsi="宋体" w:cs="仿宋"/>
          <w:b/>
          <w:color w:val="auto"/>
          <w:kern w:val="0"/>
          <w:sz w:val="24"/>
          <w:lang w:val="zh-CN"/>
        </w:rPr>
      </w:pPr>
    </w:p>
    <w:p>
      <w:pPr>
        <w:snapToGrid w:val="0"/>
        <w:spacing w:line="400" w:lineRule="exact"/>
        <w:ind w:firstLine="463" w:firstLineChars="192"/>
        <w:contextualSpacing/>
        <w:rPr>
          <w:rFonts w:ascii="宋体" w:hAnsi="宋体" w:cs="仿宋"/>
          <w:b/>
          <w:color w:val="auto"/>
          <w:kern w:val="0"/>
          <w:sz w:val="24"/>
          <w:lang w:val="zh-CN"/>
        </w:rPr>
      </w:pPr>
    </w:p>
    <w:p>
      <w:pPr>
        <w:snapToGrid w:val="0"/>
        <w:spacing w:line="400" w:lineRule="exact"/>
        <w:ind w:firstLine="463" w:firstLineChars="192"/>
        <w:contextualSpacing/>
        <w:rPr>
          <w:rFonts w:ascii="宋体" w:hAnsi="宋体" w:cs="仿宋"/>
          <w:b/>
          <w:color w:val="auto"/>
          <w:kern w:val="0"/>
          <w:sz w:val="24"/>
          <w:lang w:val="zh-CN"/>
        </w:rPr>
      </w:pPr>
    </w:p>
    <w:p>
      <w:pPr>
        <w:snapToGrid w:val="0"/>
        <w:spacing w:line="400" w:lineRule="exact"/>
        <w:ind w:firstLine="463" w:firstLineChars="192"/>
        <w:contextualSpacing/>
        <w:rPr>
          <w:rFonts w:ascii="宋体" w:hAnsi="宋体" w:cs="仿宋"/>
          <w:b/>
          <w:color w:val="auto"/>
          <w:kern w:val="0"/>
          <w:sz w:val="24"/>
          <w:lang w:val="zh-CN"/>
        </w:rPr>
      </w:pPr>
    </w:p>
    <w:p>
      <w:pPr>
        <w:snapToGrid w:val="0"/>
        <w:spacing w:line="400" w:lineRule="exact"/>
        <w:ind w:firstLine="463" w:firstLineChars="192"/>
        <w:contextualSpacing/>
        <w:rPr>
          <w:rFonts w:ascii="宋体" w:hAnsi="宋体" w:cs="仿宋"/>
          <w:b/>
          <w:color w:val="auto"/>
          <w:kern w:val="0"/>
          <w:sz w:val="24"/>
          <w:lang w:val="zh-CN"/>
        </w:rPr>
      </w:pPr>
    </w:p>
    <w:p>
      <w:pPr>
        <w:snapToGrid w:val="0"/>
        <w:spacing w:line="400" w:lineRule="exact"/>
        <w:ind w:firstLine="463" w:firstLineChars="192"/>
        <w:contextualSpacing/>
        <w:rPr>
          <w:rFonts w:ascii="宋体" w:hAnsi="宋体" w:cs="仿宋"/>
          <w:b/>
          <w:color w:val="auto"/>
          <w:kern w:val="0"/>
          <w:sz w:val="24"/>
          <w:lang w:val="zh-CN"/>
        </w:rPr>
      </w:pPr>
    </w:p>
    <w:p>
      <w:pPr>
        <w:snapToGrid w:val="0"/>
        <w:spacing w:line="400" w:lineRule="exact"/>
        <w:ind w:firstLine="463" w:firstLineChars="192"/>
        <w:contextualSpacing/>
        <w:rPr>
          <w:rFonts w:ascii="宋体" w:hAnsi="宋体" w:cs="仿宋"/>
          <w:b/>
          <w:color w:val="auto"/>
          <w:kern w:val="0"/>
          <w:sz w:val="24"/>
          <w:lang w:val="zh-CN"/>
        </w:rPr>
      </w:pPr>
    </w:p>
    <w:p>
      <w:pPr>
        <w:snapToGrid w:val="0"/>
        <w:spacing w:line="400" w:lineRule="exact"/>
        <w:ind w:firstLine="463" w:firstLineChars="192"/>
        <w:contextualSpacing/>
        <w:rPr>
          <w:rFonts w:ascii="宋体" w:hAnsi="宋体" w:cs="仿宋"/>
          <w:b/>
          <w:color w:val="auto"/>
          <w:kern w:val="0"/>
          <w:sz w:val="24"/>
          <w:lang w:val="zh-CN"/>
        </w:rPr>
      </w:pPr>
    </w:p>
    <w:p>
      <w:pPr>
        <w:snapToGrid w:val="0"/>
        <w:spacing w:line="400" w:lineRule="exact"/>
        <w:ind w:firstLine="463" w:firstLineChars="192"/>
        <w:contextualSpacing/>
        <w:rPr>
          <w:rFonts w:ascii="宋体" w:hAnsi="宋体" w:cs="仿宋"/>
          <w:b/>
          <w:color w:val="auto"/>
          <w:kern w:val="0"/>
          <w:sz w:val="24"/>
          <w:lang w:val="zh-CN"/>
        </w:rPr>
      </w:pPr>
    </w:p>
    <w:p>
      <w:pPr>
        <w:snapToGrid w:val="0"/>
        <w:spacing w:line="400" w:lineRule="exact"/>
        <w:ind w:firstLine="463" w:firstLineChars="192"/>
        <w:contextualSpacing/>
        <w:rPr>
          <w:rFonts w:ascii="宋体" w:hAnsi="宋体" w:cs="仿宋"/>
          <w:b/>
          <w:color w:val="auto"/>
          <w:kern w:val="0"/>
          <w:sz w:val="24"/>
          <w:lang w:val="zh-CN"/>
        </w:rPr>
      </w:pPr>
    </w:p>
    <w:p>
      <w:pPr>
        <w:snapToGrid w:val="0"/>
        <w:spacing w:line="400" w:lineRule="exact"/>
        <w:ind w:firstLine="463" w:firstLineChars="192"/>
        <w:contextualSpacing/>
        <w:rPr>
          <w:rFonts w:ascii="宋体" w:hAnsi="宋体" w:cs="仿宋"/>
          <w:b/>
          <w:color w:val="auto"/>
          <w:kern w:val="0"/>
          <w:sz w:val="24"/>
          <w:lang w:val="zh-CN"/>
        </w:rPr>
      </w:pPr>
    </w:p>
    <w:p>
      <w:pPr>
        <w:snapToGrid w:val="0"/>
        <w:spacing w:line="400" w:lineRule="exact"/>
        <w:ind w:firstLine="463" w:firstLineChars="192"/>
        <w:contextualSpacing/>
        <w:rPr>
          <w:rFonts w:ascii="宋体" w:hAnsi="宋体" w:cs="仿宋"/>
          <w:b/>
          <w:color w:val="auto"/>
          <w:kern w:val="0"/>
          <w:sz w:val="24"/>
          <w:lang w:val="zh-CN"/>
        </w:rPr>
      </w:pPr>
    </w:p>
    <w:p>
      <w:pPr>
        <w:snapToGrid w:val="0"/>
        <w:spacing w:line="400" w:lineRule="exact"/>
        <w:ind w:firstLine="463" w:firstLineChars="192"/>
        <w:contextualSpacing/>
        <w:rPr>
          <w:rFonts w:ascii="宋体" w:hAnsi="宋体" w:cs="仿宋"/>
          <w:b/>
          <w:color w:val="auto"/>
          <w:kern w:val="0"/>
          <w:sz w:val="24"/>
          <w:lang w:val="zh-CN"/>
        </w:rPr>
      </w:pPr>
    </w:p>
    <w:p>
      <w:pPr>
        <w:snapToGrid w:val="0"/>
        <w:spacing w:line="400" w:lineRule="exact"/>
        <w:ind w:firstLine="463" w:firstLineChars="192"/>
        <w:contextualSpacing/>
        <w:rPr>
          <w:rFonts w:ascii="宋体" w:hAnsi="宋体" w:cs="仿宋"/>
          <w:b/>
          <w:color w:val="auto"/>
          <w:kern w:val="0"/>
          <w:sz w:val="24"/>
          <w:lang w:val="zh-CN"/>
        </w:rPr>
      </w:pPr>
    </w:p>
    <w:p>
      <w:pPr>
        <w:pStyle w:val="83"/>
        <w:ind w:firstLine="420"/>
        <w:rPr>
          <w:color w:val="auto"/>
          <w:lang w:val="zh-CN"/>
        </w:rPr>
      </w:pPr>
    </w:p>
    <w:p>
      <w:pPr>
        <w:snapToGrid w:val="0"/>
        <w:spacing w:line="400" w:lineRule="exact"/>
        <w:ind w:firstLine="463" w:firstLineChars="192"/>
        <w:contextualSpacing/>
        <w:rPr>
          <w:rFonts w:ascii="宋体" w:hAnsi="宋体" w:cs="仿宋"/>
          <w:b/>
          <w:color w:val="auto"/>
          <w:kern w:val="0"/>
          <w:sz w:val="24"/>
          <w:lang w:val="zh-CN"/>
        </w:rPr>
      </w:pPr>
    </w:p>
    <w:p>
      <w:pPr>
        <w:snapToGrid w:val="0"/>
        <w:spacing w:line="400" w:lineRule="exact"/>
        <w:ind w:firstLine="463" w:firstLineChars="192"/>
        <w:contextualSpacing/>
        <w:rPr>
          <w:rFonts w:ascii="宋体" w:hAnsi="宋体" w:cs="仿宋"/>
          <w:b/>
          <w:color w:val="auto"/>
          <w:kern w:val="0"/>
          <w:sz w:val="24"/>
          <w:lang w:val="zh-CN"/>
        </w:rPr>
      </w:pPr>
    </w:p>
    <w:p>
      <w:pPr>
        <w:snapToGrid w:val="0"/>
        <w:spacing w:line="400" w:lineRule="exact"/>
        <w:ind w:firstLine="463" w:firstLineChars="192"/>
        <w:contextualSpacing/>
        <w:rPr>
          <w:rFonts w:ascii="宋体" w:hAnsi="宋体" w:cs="仿宋"/>
          <w:b/>
          <w:color w:val="auto"/>
          <w:kern w:val="0"/>
          <w:sz w:val="24"/>
          <w:lang w:val="zh-CN"/>
        </w:rPr>
      </w:pPr>
    </w:p>
    <w:p>
      <w:pPr>
        <w:snapToGrid w:val="0"/>
        <w:spacing w:line="400" w:lineRule="exact"/>
        <w:ind w:firstLine="463" w:firstLineChars="192"/>
        <w:contextualSpacing/>
        <w:rPr>
          <w:rFonts w:ascii="宋体" w:hAnsi="宋体" w:cs="仿宋"/>
          <w:b/>
          <w:color w:val="auto"/>
          <w:kern w:val="0"/>
          <w:sz w:val="24"/>
          <w:lang w:val="zh-CN"/>
        </w:rPr>
      </w:pPr>
    </w:p>
    <w:p>
      <w:pPr>
        <w:rPr>
          <w:rFonts w:ascii="宋体" w:hAnsi="宋体" w:cs="仿宋"/>
          <w:color w:val="auto"/>
          <w:kern w:val="0"/>
          <w:sz w:val="24"/>
          <w:lang w:val="zh-CN"/>
        </w:rPr>
      </w:pPr>
      <w:r>
        <w:rPr>
          <w:rFonts w:hint="eastAsia" w:ascii="宋体" w:hAnsi="宋体" w:cs="仿宋"/>
          <w:color w:val="auto"/>
          <w:kern w:val="0"/>
          <w:sz w:val="24"/>
          <w:lang w:val="zh-CN"/>
        </w:rPr>
        <w:br w:type="page"/>
      </w:r>
    </w:p>
    <w:p>
      <w:pPr>
        <w:snapToGrid w:val="0"/>
        <w:spacing w:line="400" w:lineRule="exact"/>
        <w:contextualSpacing/>
        <w:rPr>
          <w:rFonts w:ascii="宋体" w:hAnsi="宋体" w:cs="仿宋"/>
          <w:color w:val="auto"/>
          <w:kern w:val="0"/>
          <w:sz w:val="24"/>
          <w:lang w:val="zh-CN"/>
        </w:rPr>
      </w:pPr>
      <w:r>
        <w:rPr>
          <w:rFonts w:hint="eastAsia" w:ascii="宋体" w:hAnsi="宋体" w:cs="仿宋"/>
          <w:color w:val="auto"/>
          <w:kern w:val="0"/>
          <w:sz w:val="24"/>
          <w:lang w:val="zh-CN"/>
        </w:rPr>
        <w:t>附件3</w:t>
      </w:r>
    </w:p>
    <w:p>
      <w:pPr>
        <w:jc w:val="center"/>
        <w:rPr>
          <w:rFonts w:ascii="宋体" w:hAnsi="宋体" w:cs="仿宋"/>
          <w:color w:val="auto"/>
          <w:sz w:val="24"/>
        </w:rPr>
      </w:pPr>
    </w:p>
    <w:p>
      <w:pPr>
        <w:spacing w:line="460" w:lineRule="exact"/>
        <w:ind w:firstLine="480" w:firstLineChars="200"/>
        <w:jc w:val="center"/>
        <w:rPr>
          <w:rFonts w:ascii="宋体" w:hAnsi="宋体" w:cs="仿宋"/>
          <w:color w:val="auto"/>
          <w:sz w:val="24"/>
        </w:rPr>
      </w:pPr>
      <w:r>
        <w:rPr>
          <w:rFonts w:hint="eastAsia" w:ascii="宋体" w:hAnsi="宋体" w:cs="仿宋"/>
          <w:color w:val="auto"/>
          <w:sz w:val="24"/>
        </w:rPr>
        <w:t>法定代表人授权委托书</w:t>
      </w:r>
    </w:p>
    <w:p>
      <w:pPr>
        <w:spacing w:line="460" w:lineRule="exact"/>
        <w:ind w:firstLine="480" w:firstLineChars="200"/>
        <w:rPr>
          <w:rFonts w:ascii="宋体" w:hAnsi="宋体" w:cs="仿宋"/>
          <w:color w:val="auto"/>
          <w:sz w:val="24"/>
        </w:rPr>
      </w:pPr>
    </w:p>
    <w:p>
      <w:pPr>
        <w:spacing w:line="460" w:lineRule="exact"/>
        <w:ind w:firstLine="480" w:firstLineChars="200"/>
        <w:rPr>
          <w:rFonts w:ascii="宋体" w:hAnsi="宋体" w:cs="仿宋"/>
          <w:color w:val="auto"/>
          <w:sz w:val="24"/>
        </w:rPr>
      </w:pPr>
      <w:r>
        <w:rPr>
          <w:rFonts w:hint="eastAsia" w:ascii="宋体" w:hAnsi="宋体" w:cs="仿宋"/>
          <w:color w:val="auto"/>
          <w:sz w:val="24"/>
        </w:rPr>
        <w:t>本人------（姓名）系————（授权单位名称）的法定代表人，现委托-------（姓名）（身份证号——————）为我方代理人，以我方名义全权处理与本次采购项目（编号：----------）有关的一切事务，其法律后果由我方承担。</w:t>
      </w:r>
    </w:p>
    <w:p>
      <w:pPr>
        <w:spacing w:line="460" w:lineRule="exact"/>
        <w:ind w:firstLine="480" w:firstLineChars="200"/>
        <w:rPr>
          <w:rFonts w:ascii="宋体" w:hAnsi="宋体" w:cs="仿宋"/>
          <w:color w:val="auto"/>
          <w:sz w:val="24"/>
        </w:rPr>
      </w:pPr>
      <w:r>
        <w:rPr>
          <w:rFonts w:hint="eastAsia" w:ascii="宋体" w:hAnsi="宋体" w:cs="仿宋"/>
          <w:color w:val="auto"/>
          <w:sz w:val="24"/>
        </w:rPr>
        <w:t>本授权书于---年---月---日起生效。代理人无转委托权。</w:t>
      </w:r>
    </w:p>
    <w:p>
      <w:pPr>
        <w:spacing w:line="460" w:lineRule="exact"/>
        <w:ind w:firstLine="480" w:firstLineChars="200"/>
        <w:rPr>
          <w:rFonts w:ascii="宋体" w:hAnsi="宋体" w:cs="仿宋"/>
          <w:color w:val="auto"/>
          <w:sz w:val="24"/>
        </w:rPr>
      </w:pPr>
      <w:r>
        <w:rPr>
          <w:rFonts w:hint="eastAsia" w:ascii="宋体" w:hAnsi="宋体" w:cs="仿宋"/>
          <w:color w:val="auto"/>
          <w:sz w:val="24"/>
        </w:rPr>
        <w:t>代理人(被授权人):------</w:t>
      </w:r>
    </w:p>
    <w:p>
      <w:pPr>
        <w:spacing w:line="460" w:lineRule="exact"/>
        <w:ind w:firstLine="480" w:firstLineChars="200"/>
        <w:rPr>
          <w:rFonts w:ascii="宋体" w:hAnsi="宋体" w:cs="仿宋"/>
          <w:color w:val="auto"/>
          <w:sz w:val="24"/>
        </w:rPr>
      </w:pPr>
      <w:r>
        <w:rPr>
          <w:rFonts w:hint="eastAsia" w:ascii="宋体" w:hAnsi="宋体" w:cs="仿宋"/>
          <w:color w:val="auto"/>
          <w:sz w:val="24"/>
        </w:rPr>
        <w:t>授权单位名称（盖章）：-----</w:t>
      </w:r>
    </w:p>
    <w:p>
      <w:pPr>
        <w:spacing w:line="460" w:lineRule="exact"/>
        <w:ind w:firstLine="480" w:firstLineChars="200"/>
        <w:rPr>
          <w:rFonts w:ascii="宋体" w:hAnsi="宋体" w:cs="仿宋"/>
          <w:color w:val="auto"/>
          <w:sz w:val="24"/>
        </w:rPr>
      </w:pPr>
      <w:r>
        <w:rPr>
          <w:rFonts w:hint="eastAsia" w:ascii="宋体" w:hAnsi="宋体" w:cs="仿宋"/>
          <w:color w:val="auto"/>
          <w:sz w:val="24"/>
        </w:rPr>
        <w:t>授权单位法定代表人（签字或盖章）：-----</w:t>
      </w:r>
    </w:p>
    <w:p>
      <w:pPr>
        <w:spacing w:line="460" w:lineRule="exact"/>
        <w:ind w:firstLine="480" w:firstLineChars="200"/>
        <w:jc w:val="right"/>
        <w:rPr>
          <w:rFonts w:ascii="宋体" w:hAnsi="宋体" w:cs="仿宋"/>
          <w:color w:val="auto"/>
          <w:sz w:val="24"/>
        </w:rPr>
      </w:pPr>
    </w:p>
    <w:p>
      <w:pPr>
        <w:spacing w:line="460" w:lineRule="exact"/>
        <w:ind w:firstLine="480" w:firstLineChars="200"/>
        <w:jc w:val="right"/>
        <w:rPr>
          <w:rFonts w:ascii="宋体" w:hAnsi="宋体" w:cs="仿宋"/>
          <w:color w:val="auto"/>
          <w:sz w:val="24"/>
        </w:rPr>
      </w:pPr>
      <w:r>
        <w:rPr>
          <w:rFonts w:hint="eastAsia" w:ascii="宋体" w:hAnsi="宋体" w:cs="仿宋"/>
          <w:color w:val="auto"/>
          <w:sz w:val="24"/>
        </w:rPr>
        <w:t>XXXX年XX月XX日</w:t>
      </w:r>
    </w:p>
    <w:p>
      <w:pPr>
        <w:snapToGrid w:val="0"/>
        <w:spacing w:line="460" w:lineRule="exact"/>
        <w:ind w:firstLine="482" w:firstLineChars="200"/>
        <w:contextualSpacing/>
        <w:rPr>
          <w:rFonts w:ascii="宋体" w:hAnsi="宋体" w:cs="仿宋"/>
          <w:b/>
          <w:color w:val="auto"/>
          <w:kern w:val="0"/>
          <w:sz w:val="24"/>
        </w:rPr>
      </w:pPr>
    </w:p>
    <w:p>
      <w:pPr>
        <w:snapToGrid w:val="0"/>
        <w:spacing w:line="460" w:lineRule="exact"/>
        <w:ind w:firstLine="482" w:firstLineChars="200"/>
        <w:contextualSpacing/>
        <w:rPr>
          <w:rFonts w:ascii="宋体" w:hAnsi="宋体" w:cs="仿宋"/>
          <w:b/>
          <w:color w:val="auto"/>
          <w:kern w:val="0"/>
          <w:sz w:val="24"/>
        </w:rPr>
      </w:pPr>
      <w:r>
        <w:rPr>
          <w:rFonts w:hint="eastAsia" w:ascii="宋体" w:hAnsi="宋体" w:cs="仿宋"/>
          <w:b/>
          <w:color w:val="auto"/>
          <w:kern w:val="0"/>
          <w:sz w:val="24"/>
        </w:rPr>
        <w:t>注：提供投标代表本人身份证复印件盖公章</w:t>
      </w:r>
    </w:p>
    <w:p>
      <w:pPr>
        <w:snapToGrid w:val="0"/>
        <w:spacing w:line="460" w:lineRule="exact"/>
        <w:ind w:firstLine="482" w:firstLineChars="200"/>
        <w:contextualSpacing/>
        <w:rPr>
          <w:rFonts w:ascii="宋体" w:hAnsi="宋体" w:cs="仿宋"/>
          <w:b/>
          <w:color w:val="auto"/>
          <w:kern w:val="0"/>
          <w:sz w:val="24"/>
        </w:rPr>
      </w:pPr>
    </w:p>
    <w:p>
      <w:pPr>
        <w:snapToGrid w:val="0"/>
        <w:spacing w:line="400" w:lineRule="exact"/>
        <w:ind w:firstLine="463" w:firstLineChars="192"/>
        <w:contextualSpacing/>
        <w:rPr>
          <w:rFonts w:ascii="宋体" w:hAnsi="宋体" w:cs="仿宋"/>
          <w:b/>
          <w:color w:val="auto"/>
          <w:kern w:val="0"/>
          <w:sz w:val="24"/>
        </w:rPr>
      </w:pPr>
    </w:p>
    <w:p>
      <w:pPr>
        <w:snapToGrid w:val="0"/>
        <w:spacing w:line="400" w:lineRule="exact"/>
        <w:ind w:firstLine="463" w:firstLineChars="192"/>
        <w:contextualSpacing/>
        <w:rPr>
          <w:rFonts w:ascii="宋体" w:hAnsi="宋体" w:cs="仿宋"/>
          <w:b/>
          <w:color w:val="auto"/>
          <w:kern w:val="0"/>
          <w:sz w:val="24"/>
        </w:rPr>
      </w:pPr>
    </w:p>
    <w:p>
      <w:pPr>
        <w:snapToGrid w:val="0"/>
        <w:spacing w:line="400" w:lineRule="exact"/>
        <w:ind w:firstLine="463" w:firstLineChars="192"/>
        <w:contextualSpacing/>
        <w:rPr>
          <w:rFonts w:ascii="宋体" w:hAnsi="宋体" w:cs="仿宋"/>
          <w:b/>
          <w:color w:val="auto"/>
          <w:kern w:val="0"/>
          <w:sz w:val="24"/>
        </w:rPr>
      </w:pPr>
    </w:p>
    <w:p>
      <w:pPr>
        <w:snapToGrid w:val="0"/>
        <w:spacing w:line="400" w:lineRule="exact"/>
        <w:ind w:firstLine="463" w:firstLineChars="192"/>
        <w:contextualSpacing/>
        <w:rPr>
          <w:rFonts w:ascii="宋体" w:hAnsi="宋体" w:cs="仿宋"/>
          <w:b/>
          <w:color w:val="auto"/>
          <w:kern w:val="0"/>
          <w:sz w:val="24"/>
        </w:rPr>
      </w:pPr>
    </w:p>
    <w:p>
      <w:pPr>
        <w:snapToGrid w:val="0"/>
        <w:spacing w:line="400" w:lineRule="exact"/>
        <w:ind w:firstLine="463" w:firstLineChars="192"/>
        <w:contextualSpacing/>
        <w:rPr>
          <w:rFonts w:ascii="宋体" w:hAnsi="宋体" w:cs="仿宋"/>
          <w:b/>
          <w:color w:val="auto"/>
          <w:kern w:val="0"/>
          <w:sz w:val="24"/>
        </w:rPr>
      </w:pPr>
    </w:p>
    <w:p>
      <w:pPr>
        <w:snapToGrid w:val="0"/>
        <w:spacing w:line="400" w:lineRule="exact"/>
        <w:ind w:firstLine="463" w:firstLineChars="192"/>
        <w:contextualSpacing/>
        <w:rPr>
          <w:rFonts w:ascii="宋体" w:hAnsi="宋体" w:cs="仿宋"/>
          <w:b/>
          <w:color w:val="auto"/>
          <w:kern w:val="0"/>
          <w:sz w:val="24"/>
        </w:rPr>
      </w:pPr>
    </w:p>
    <w:p>
      <w:pPr>
        <w:snapToGrid w:val="0"/>
        <w:spacing w:line="400" w:lineRule="exact"/>
        <w:contextualSpacing/>
        <w:rPr>
          <w:rFonts w:ascii="宋体" w:hAnsi="宋体" w:cs="仿宋"/>
          <w:color w:val="auto"/>
          <w:kern w:val="0"/>
          <w:sz w:val="24"/>
        </w:rPr>
        <w:sectPr>
          <w:pgSz w:w="11907" w:h="16839"/>
          <w:pgMar w:top="1440" w:right="1800" w:bottom="1440" w:left="1800" w:header="720" w:footer="720" w:gutter="0"/>
          <w:cols w:space="720" w:num="1"/>
          <w:docGrid w:linePitch="286" w:charSpace="0"/>
        </w:sectPr>
      </w:pPr>
    </w:p>
    <w:p>
      <w:pPr>
        <w:spacing w:line="420" w:lineRule="exact"/>
        <w:jc w:val="left"/>
        <w:rPr>
          <w:color w:val="auto"/>
          <w:sz w:val="24"/>
        </w:rPr>
      </w:pPr>
      <w:r>
        <w:rPr>
          <w:rFonts w:hint="eastAsia"/>
          <w:color w:val="auto"/>
          <w:sz w:val="24"/>
        </w:rPr>
        <w:t>附件4</w:t>
      </w:r>
    </w:p>
    <w:p>
      <w:pPr>
        <w:spacing w:line="420" w:lineRule="exact"/>
        <w:jc w:val="center"/>
        <w:rPr>
          <w:b/>
          <w:color w:val="auto"/>
          <w:sz w:val="24"/>
        </w:rPr>
      </w:pPr>
      <w:r>
        <w:rPr>
          <w:b/>
          <w:bCs/>
          <w:color w:val="auto"/>
          <w:sz w:val="24"/>
        </w:rPr>
        <w:t>关于资格的声明函</w:t>
      </w:r>
    </w:p>
    <w:p>
      <w:pPr>
        <w:snapToGrid w:val="0"/>
        <w:spacing w:line="520" w:lineRule="exact"/>
        <w:rPr>
          <w:color w:val="auto"/>
          <w:sz w:val="24"/>
          <w:u w:val="single"/>
        </w:rPr>
      </w:pPr>
      <w:r>
        <w:rPr>
          <w:rFonts w:hint="eastAsia"/>
          <w:color w:val="auto"/>
          <w:sz w:val="24"/>
          <w:u w:val="single"/>
        </w:rPr>
        <w:t>南通市农业农村局：</w:t>
      </w:r>
    </w:p>
    <w:p>
      <w:pPr>
        <w:pStyle w:val="70"/>
        <w:rPr>
          <w:color w:val="auto"/>
        </w:rPr>
      </w:pPr>
    </w:p>
    <w:p>
      <w:pPr>
        <w:overflowPunct w:val="0"/>
        <w:adjustRightInd w:val="0"/>
        <w:spacing w:line="360" w:lineRule="auto"/>
        <w:ind w:firstLine="480" w:firstLineChars="200"/>
        <w:jc w:val="left"/>
        <w:textAlignment w:val="baseline"/>
        <w:rPr>
          <w:color w:val="auto"/>
          <w:sz w:val="24"/>
        </w:rPr>
      </w:pPr>
      <w:r>
        <w:rPr>
          <w:color w:val="auto"/>
          <w:sz w:val="24"/>
        </w:rPr>
        <w:t>本公司愿就由贵单位组织实施的</w:t>
      </w:r>
      <w:r>
        <w:rPr>
          <w:rFonts w:hint="eastAsia"/>
          <w:color w:val="auto"/>
          <w:sz w:val="24"/>
          <w:u w:val="single"/>
        </w:rPr>
        <w:t xml:space="preserve"> </w:t>
      </w:r>
      <w:r>
        <w:rPr>
          <w:color w:val="auto"/>
          <w:sz w:val="24"/>
          <w:u w:val="single"/>
        </w:rPr>
        <w:t xml:space="preserve">          （</w:t>
      </w:r>
      <w:r>
        <w:rPr>
          <w:rFonts w:hint="eastAsia"/>
          <w:color w:val="auto"/>
          <w:sz w:val="24"/>
        </w:rPr>
        <w:t>采购</w:t>
      </w:r>
      <w:r>
        <w:rPr>
          <w:color w:val="auto"/>
          <w:sz w:val="24"/>
        </w:rPr>
        <w:t>项目名称）的采购活动进行投标。本公司所提交的投标</w:t>
      </w:r>
      <w:r>
        <w:rPr>
          <w:rFonts w:hint="eastAsia"/>
          <w:color w:val="auto"/>
          <w:sz w:val="24"/>
        </w:rPr>
        <w:t>响应</w:t>
      </w:r>
      <w:r>
        <w:rPr>
          <w:color w:val="auto"/>
          <w:sz w:val="24"/>
        </w:rPr>
        <w:t>文件中所有关于投标资格的文件、证明和陈述均是真实的、准确的。若与真实情况不符，本公司愿意承担由此而产生的一切后果。</w:t>
      </w:r>
    </w:p>
    <w:p>
      <w:pPr>
        <w:pStyle w:val="23"/>
        <w:ind w:firstLine="420"/>
        <w:rPr>
          <w:color w:val="auto"/>
        </w:rPr>
      </w:pPr>
    </w:p>
    <w:p>
      <w:pPr>
        <w:snapToGrid w:val="0"/>
        <w:spacing w:line="520" w:lineRule="exact"/>
        <w:jc w:val="right"/>
        <w:rPr>
          <w:color w:val="auto"/>
          <w:sz w:val="24"/>
        </w:rPr>
      </w:pPr>
      <w:r>
        <w:rPr>
          <w:rFonts w:hint="eastAsia"/>
          <w:color w:val="auto"/>
          <w:sz w:val="24"/>
        </w:rPr>
        <w:t>投标供应商</w:t>
      </w:r>
      <w:r>
        <w:rPr>
          <w:color w:val="auto"/>
          <w:sz w:val="24"/>
        </w:rPr>
        <w:t>：（加盖公章）</w:t>
      </w:r>
    </w:p>
    <w:p>
      <w:pPr>
        <w:snapToGrid w:val="0"/>
        <w:spacing w:line="520" w:lineRule="exact"/>
        <w:ind w:firstLine="2400" w:firstLineChars="1000"/>
        <w:jc w:val="right"/>
        <w:rPr>
          <w:color w:val="auto"/>
          <w:sz w:val="24"/>
        </w:rPr>
      </w:pPr>
      <w:r>
        <w:rPr>
          <w:color w:val="auto"/>
          <w:sz w:val="24"/>
        </w:rPr>
        <w:t>法定代表人或被授权人：（签字或盖章）</w:t>
      </w:r>
    </w:p>
    <w:p>
      <w:pPr>
        <w:snapToGrid w:val="0"/>
        <w:spacing w:line="520" w:lineRule="exact"/>
        <w:jc w:val="right"/>
        <w:rPr>
          <w:color w:val="auto"/>
          <w:sz w:val="24"/>
        </w:rPr>
      </w:pPr>
      <w:r>
        <w:rPr>
          <w:color w:val="auto"/>
          <w:sz w:val="24"/>
        </w:rPr>
        <w:t>二</w:t>
      </w:r>
      <w:r>
        <w:rPr>
          <w:rFonts w:hint="eastAsia"/>
          <w:color w:val="auto"/>
          <w:sz w:val="24"/>
        </w:rPr>
        <w:t>〇</w:t>
      </w:r>
      <w:r>
        <w:rPr>
          <w:color w:val="auto"/>
          <w:sz w:val="24"/>
        </w:rPr>
        <w:t>二</w:t>
      </w:r>
      <w:r>
        <w:rPr>
          <w:rFonts w:hint="eastAsia"/>
          <w:color w:val="auto"/>
          <w:sz w:val="24"/>
        </w:rPr>
        <w:t>五</w:t>
      </w:r>
      <w:r>
        <w:rPr>
          <w:color w:val="auto"/>
          <w:sz w:val="24"/>
        </w:rPr>
        <w:t>年</w:t>
      </w:r>
      <w:r>
        <w:rPr>
          <w:rFonts w:hint="eastAsia"/>
          <w:color w:val="auto"/>
          <w:sz w:val="24"/>
        </w:rPr>
        <w:t xml:space="preserve">  </w:t>
      </w:r>
      <w:r>
        <w:rPr>
          <w:color w:val="auto"/>
          <w:sz w:val="24"/>
        </w:rPr>
        <w:t>月</w:t>
      </w:r>
      <w:r>
        <w:rPr>
          <w:rFonts w:hint="eastAsia"/>
          <w:color w:val="auto"/>
          <w:sz w:val="24"/>
        </w:rPr>
        <w:t xml:space="preserve">  </w:t>
      </w:r>
      <w:r>
        <w:rPr>
          <w:color w:val="auto"/>
          <w:sz w:val="24"/>
        </w:rPr>
        <w:t>日</w:t>
      </w:r>
    </w:p>
    <w:p>
      <w:pPr>
        <w:widowControl/>
        <w:jc w:val="left"/>
        <w:rPr>
          <w:rFonts w:ascii="宋体" w:hAnsi="宋体" w:cs="仿宋"/>
          <w:color w:val="auto"/>
          <w:kern w:val="0"/>
          <w:sz w:val="24"/>
        </w:rPr>
      </w:pPr>
      <w:r>
        <w:rPr>
          <w:rFonts w:ascii="宋体" w:hAnsi="宋体" w:cs="仿宋"/>
          <w:color w:val="auto"/>
          <w:kern w:val="0"/>
          <w:sz w:val="24"/>
        </w:rPr>
        <w:br w:type="page"/>
      </w:r>
    </w:p>
    <w:p>
      <w:pPr>
        <w:snapToGrid w:val="0"/>
        <w:spacing w:line="520" w:lineRule="exact"/>
        <w:jc w:val="left"/>
        <w:rPr>
          <w:color w:val="auto"/>
          <w:sz w:val="24"/>
        </w:rPr>
      </w:pPr>
      <w:r>
        <w:rPr>
          <w:rFonts w:hint="eastAsia"/>
          <w:color w:val="auto"/>
          <w:sz w:val="24"/>
        </w:rPr>
        <w:t>附件5</w:t>
      </w:r>
    </w:p>
    <w:p>
      <w:pPr>
        <w:snapToGrid w:val="0"/>
        <w:spacing w:line="520" w:lineRule="exact"/>
        <w:jc w:val="center"/>
        <w:rPr>
          <w:b/>
          <w:bCs/>
          <w:color w:val="auto"/>
          <w:sz w:val="24"/>
        </w:rPr>
      </w:pPr>
      <w:r>
        <w:rPr>
          <w:b/>
          <w:bCs/>
          <w:color w:val="auto"/>
          <w:sz w:val="24"/>
        </w:rPr>
        <w:t>参加采购活动前</w:t>
      </w:r>
      <w:r>
        <w:rPr>
          <w:rFonts w:hint="eastAsia"/>
          <w:b/>
          <w:bCs/>
          <w:color w:val="auto"/>
          <w:sz w:val="24"/>
        </w:rPr>
        <w:t>无</w:t>
      </w:r>
      <w:r>
        <w:rPr>
          <w:b/>
          <w:bCs/>
          <w:color w:val="auto"/>
          <w:sz w:val="24"/>
        </w:rPr>
        <w:t>失信记录的书面声明</w:t>
      </w:r>
    </w:p>
    <w:p>
      <w:pPr>
        <w:spacing w:line="460" w:lineRule="exact"/>
        <w:ind w:firstLine="881"/>
        <w:jc w:val="center"/>
        <w:rPr>
          <w:rFonts w:ascii="宋体" w:hAnsi="宋体"/>
          <w:b/>
          <w:bCs/>
          <w:color w:val="auto"/>
          <w:sz w:val="44"/>
          <w:szCs w:val="44"/>
        </w:rPr>
      </w:pPr>
    </w:p>
    <w:p>
      <w:pPr>
        <w:snapToGrid w:val="0"/>
        <w:spacing w:line="520" w:lineRule="exact"/>
        <w:rPr>
          <w:color w:val="auto"/>
          <w:sz w:val="24"/>
          <w:u w:val="single"/>
        </w:rPr>
      </w:pPr>
      <w:r>
        <w:rPr>
          <w:rFonts w:hint="eastAsia"/>
          <w:color w:val="auto"/>
          <w:sz w:val="24"/>
          <w:u w:val="single"/>
        </w:rPr>
        <w:t>南通市农业农村局：</w:t>
      </w:r>
    </w:p>
    <w:p>
      <w:pPr>
        <w:spacing w:line="500" w:lineRule="exact"/>
        <w:ind w:firstLine="480" w:firstLineChars="200"/>
        <w:jc w:val="left"/>
        <w:rPr>
          <w:rFonts w:ascii="宋体" w:hAnsi="宋体"/>
          <w:bCs/>
          <w:color w:val="auto"/>
          <w:sz w:val="24"/>
          <w:szCs w:val="21"/>
        </w:rPr>
      </w:pPr>
      <w:r>
        <w:rPr>
          <w:bCs/>
          <w:color w:val="auto"/>
          <w:sz w:val="24"/>
          <w:szCs w:val="21"/>
        </w:rPr>
        <w:t>我公司</w:t>
      </w:r>
      <w:r>
        <w:rPr>
          <w:rFonts w:hint="eastAsia"/>
          <w:bCs/>
          <w:color w:val="auto"/>
          <w:sz w:val="24"/>
          <w:szCs w:val="21"/>
        </w:rPr>
        <w:t>郑重</w:t>
      </w:r>
      <w:r>
        <w:rPr>
          <w:bCs/>
          <w:color w:val="auto"/>
          <w:sz w:val="24"/>
          <w:szCs w:val="21"/>
        </w:rPr>
        <w:t>声明：</w:t>
      </w:r>
      <w:r>
        <w:rPr>
          <w:rFonts w:hint="eastAsia" w:ascii="宋体" w:hAnsi="宋体"/>
          <w:bCs/>
          <w:color w:val="auto"/>
          <w:sz w:val="24"/>
          <w:szCs w:val="21"/>
        </w:rPr>
        <w:t>在开标</w:t>
      </w:r>
      <w:r>
        <w:rPr>
          <w:rFonts w:hint="eastAsia" w:ascii="宋体" w:hAnsi="宋体"/>
          <w:color w:val="auto"/>
          <w:sz w:val="24"/>
        </w:rPr>
        <w:t>截止时间节点前，</w:t>
      </w:r>
      <w:r>
        <w:rPr>
          <w:rFonts w:hint="eastAsia" w:ascii="宋体" w:hAnsi="宋体" w:cs="宋体"/>
          <w:color w:val="auto"/>
          <w:sz w:val="24"/>
        </w:rPr>
        <w:t>没有</w:t>
      </w:r>
      <w:r>
        <w:rPr>
          <w:rFonts w:hint="eastAsia" w:ascii="宋体" w:hAnsi="宋体"/>
          <w:color w:val="auto"/>
          <w:sz w:val="24"/>
        </w:rPr>
        <w:t>被“信用中国”、“中国政府采购网”、“信用江苏”网站列入失信被执行人、重大税收违法案件当事人名单、政府采购严重违法失信行为记录名单。</w:t>
      </w:r>
    </w:p>
    <w:p>
      <w:pPr>
        <w:spacing w:line="560" w:lineRule="exact"/>
        <w:rPr>
          <w:rFonts w:ascii="宋体" w:hAnsi="宋体" w:cs="宋体"/>
          <w:color w:val="auto"/>
          <w:sz w:val="24"/>
        </w:rPr>
      </w:pPr>
    </w:p>
    <w:p>
      <w:pPr>
        <w:spacing w:line="360" w:lineRule="auto"/>
        <w:ind w:firstLine="480" w:firstLineChars="200"/>
        <w:jc w:val="right"/>
        <w:rPr>
          <w:rFonts w:ascii="宋体" w:hAnsi="宋体" w:cs="宋体"/>
          <w:color w:val="auto"/>
          <w:sz w:val="24"/>
        </w:rPr>
      </w:pPr>
    </w:p>
    <w:p>
      <w:pPr>
        <w:spacing w:line="360" w:lineRule="auto"/>
        <w:ind w:firstLine="480" w:firstLineChars="200"/>
        <w:jc w:val="right"/>
        <w:rPr>
          <w:rFonts w:ascii="宋体" w:hAnsi="宋体" w:cs="宋体"/>
          <w:color w:val="auto"/>
          <w:sz w:val="24"/>
        </w:rPr>
      </w:pPr>
    </w:p>
    <w:p>
      <w:pPr>
        <w:spacing w:line="360" w:lineRule="auto"/>
        <w:ind w:firstLine="480" w:firstLineChars="200"/>
        <w:jc w:val="right"/>
        <w:rPr>
          <w:rFonts w:ascii="宋体" w:hAnsi="宋体" w:cs="宋体"/>
          <w:color w:val="auto"/>
          <w:sz w:val="24"/>
        </w:rPr>
      </w:pPr>
      <w:r>
        <w:rPr>
          <w:rFonts w:hint="eastAsia"/>
          <w:color w:val="auto"/>
          <w:sz w:val="24"/>
        </w:rPr>
        <w:t>投标供应商</w:t>
      </w:r>
      <w:r>
        <w:rPr>
          <w:rFonts w:hint="eastAsia" w:ascii="宋体" w:hAnsi="宋体" w:cs="宋体"/>
          <w:color w:val="auto"/>
          <w:sz w:val="24"/>
        </w:rPr>
        <w:t>：（加盖公章）</w:t>
      </w:r>
    </w:p>
    <w:p>
      <w:pPr>
        <w:spacing w:line="360" w:lineRule="auto"/>
        <w:ind w:firstLine="480" w:firstLineChars="200"/>
        <w:jc w:val="right"/>
        <w:rPr>
          <w:rFonts w:ascii="宋体" w:hAnsi="宋体" w:cs="宋体"/>
          <w:color w:val="auto"/>
          <w:sz w:val="24"/>
        </w:rPr>
      </w:pPr>
      <w:r>
        <w:rPr>
          <w:rFonts w:hint="eastAsia" w:ascii="宋体" w:hAnsi="宋体" w:cs="宋体"/>
          <w:color w:val="auto"/>
          <w:sz w:val="24"/>
        </w:rPr>
        <w:t>法定代表人或被授权人：（签字或盖章）</w:t>
      </w:r>
    </w:p>
    <w:p>
      <w:pPr>
        <w:snapToGrid w:val="0"/>
        <w:spacing w:line="400" w:lineRule="exact"/>
        <w:contextualSpacing/>
        <w:jc w:val="right"/>
        <w:rPr>
          <w:rFonts w:ascii="宋体" w:hAnsi="宋体" w:cs="宋体"/>
          <w:color w:val="auto"/>
          <w:sz w:val="24"/>
        </w:rPr>
      </w:pPr>
      <w:r>
        <w:rPr>
          <w:rFonts w:hint="eastAsia" w:ascii="宋体" w:hAnsi="宋体" w:cs="宋体"/>
          <w:color w:val="auto"/>
          <w:sz w:val="24"/>
        </w:rPr>
        <w:t xml:space="preserve">年    月    日  </w:t>
      </w:r>
    </w:p>
    <w:p>
      <w:pPr>
        <w:pStyle w:val="2"/>
        <w:rPr>
          <w:color w:val="auto"/>
        </w:rPr>
      </w:pPr>
      <w:r>
        <w:rPr>
          <w:color w:val="auto"/>
        </w:rPr>
        <w:br w:type="page"/>
      </w:r>
    </w:p>
    <w:p>
      <w:pPr>
        <w:snapToGrid w:val="0"/>
        <w:spacing w:line="400" w:lineRule="exact"/>
        <w:contextualSpacing/>
        <w:rPr>
          <w:rFonts w:ascii="宋体" w:hAnsi="宋体" w:cs="仿宋"/>
          <w:color w:val="auto"/>
          <w:kern w:val="0"/>
          <w:sz w:val="24"/>
        </w:rPr>
      </w:pPr>
      <w:r>
        <w:rPr>
          <w:rFonts w:hint="eastAsia" w:ascii="宋体" w:hAnsi="宋体" w:cs="仿宋"/>
          <w:color w:val="auto"/>
          <w:kern w:val="0"/>
          <w:sz w:val="24"/>
        </w:rPr>
        <w:t>附件6</w:t>
      </w:r>
    </w:p>
    <w:p>
      <w:pPr>
        <w:widowControl/>
        <w:spacing w:before="100" w:beforeAutospacing="1" w:after="100" w:afterAutospacing="1" w:line="500" w:lineRule="atLeast"/>
        <w:jc w:val="center"/>
        <w:rPr>
          <w:rFonts w:ascii="宋体" w:hAnsi="宋体" w:cs="仿宋"/>
          <w:color w:val="auto"/>
          <w:kern w:val="0"/>
          <w:sz w:val="24"/>
        </w:rPr>
      </w:pPr>
      <w:r>
        <w:rPr>
          <w:rFonts w:hint="eastAsia" w:ascii="宋体" w:hAnsi="宋体" w:cs="仿宋"/>
          <w:b/>
          <w:bCs/>
          <w:color w:val="auto"/>
          <w:kern w:val="0"/>
          <w:sz w:val="24"/>
        </w:rPr>
        <w:t>报价总表</w:t>
      </w:r>
    </w:p>
    <w:p>
      <w:pPr>
        <w:rPr>
          <w:rFonts w:ascii="宋体" w:hAnsi="宋体" w:cs="仿宋"/>
          <w:color w:val="auto"/>
          <w:kern w:val="0"/>
          <w:sz w:val="24"/>
          <w:u w:val="single"/>
        </w:rPr>
      </w:pPr>
      <w:r>
        <w:rPr>
          <w:rFonts w:hint="eastAsia" w:ascii="宋体" w:hAnsi="宋体" w:cs="仿宋"/>
          <w:color w:val="auto"/>
          <w:kern w:val="0"/>
          <w:sz w:val="24"/>
        </w:rPr>
        <w:t>供应商全称（加盖公章）：</w:t>
      </w:r>
    </w:p>
    <w:p>
      <w:pPr>
        <w:rPr>
          <w:rFonts w:ascii="宋体" w:hAnsi="宋体" w:cs="仿宋"/>
          <w:color w:val="auto"/>
          <w:kern w:val="0"/>
          <w:sz w:val="24"/>
          <w:u w:val="single"/>
        </w:rPr>
      </w:pPr>
      <w:r>
        <w:rPr>
          <w:rFonts w:hint="eastAsia" w:ascii="宋体" w:hAnsi="宋体" w:cs="仿宋"/>
          <w:color w:val="auto"/>
          <w:kern w:val="0"/>
          <w:sz w:val="24"/>
        </w:rPr>
        <w:t>项目名称：</w:t>
      </w:r>
    </w:p>
    <w:p>
      <w:pPr>
        <w:rPr>
          <w:rFonts w:ascii="宋体" w:hAnsi="宋体" w:cs="仿宋"/>
          <w:color w:val="auto"/>
          <w:kern w:val="0"/>
          <w:sz w:val="24"/>
        </w:rPr>
      </w:pPr>
      <w:r>
        <w:rPr>
          <w:rFonts w:hint="eastAsia" w:ascii="宋体" w:hAnsi="宋体" w:cs="仿宋"/>
          <w:color w:val="auto"/>
          <w:kern w:val="0"/>
          <w:sz w:val="24"/>
        </w:rPr>
        <w:t>项目编号：</w:t>
      </w:r>
    </w:p>
    <w:p>
      <w:pPr>
        <w:rPr>
          <w:rFonts w:ascii="宋体" w:hAnsi="宋体" w:cs="仿宋"/>
          <w:color w:val="auto"/>
          <w:kern w:val="0"/>
          <w:sz w:val="24"/>
        </w:rPr>
      </w:pPr>
    </w:p>
    <w:tbl>
      <w:tblPr>
        <w:tblStyle w:val="24"/>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2"/>
        <w:gridCol w:w="4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2" w:type="dxa"/>
          </w:tcPr>
          <w:p>
            <w:pPr>
              <w:jc w:val="center"/>
              <w:rPr>
                <w:rFonts w:ascii="宋体" w:hAnsi="宋体" w:cs="仿宋"/>
                <w:color w:val="auto"/>
                <w:sz w:val="24"/>
              </w:rPr>
            </w:pPr>
            <w:r>
              <w:rPr>
                <w:rFonts w:hint="eastAsia" w:ascii="宋体" w:hAnsi="宋体" w:cs="仿宋"/>
                <w:color w:val="auto"/>
                <w:kern w:val="0"/>
                <w:sz w:val="24"/>
              </w:rPr>
              <w:t>货物、服务名称</w:t>
            </w:r>
          </w:p>
        </w:tc>
        <w:tc>
          <w:tcPr>
            <w:tcW w:w="4658" w:type="dxa"/>
          </w:tcPr>
          <w:p>
            <w:pPr>
              <w:jc w:val="center"/>
              <w:rPr>
                <w:rFonts w:ascii="宋体" w:hAnsi="宋体" w:cs="仿宋"/>
                <w:color w:val="auto"/>
                <w:kern w:val="0"/>
                <w:sz w:val="24"/>
              </w:rPr>
            </w:pPr>
            <w:r>
              <w:rPr>
                <w:rFonts w:hint="eastAsia" w:ascii="宋体" w:hAnsi="宋体" w:cs="仿宋_GB2312"/>
                <w:color w:val="auto"/>
                <w:kern w:val="0"/>
                <w:sz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3722" w:type="dxa"/>
            <w:vAlign w:val="center"/>
          </w:tcPr>
          <w:p>
            <w:pPr>
              <w:jc w:val="center"/>
              <w:rPr>
                <w:rFonts w:ascii="宋体" w:hAnsi="宋体" w:cs="仿宋"/>
                <w:color w:val="auto"/>
                <w:kern w:val="0"/>
                <w:sz w:val="24"/>
              </w:rPr>
            </w:pPr>
            <w:r>
              <w:rPr>
                <w:rFonts w:hint="eastAsia" w:ascii="宋体" w:hAnsi="宋体" w:cs="仿宋"/>
                <w:color w:val="auto"/>
                <w:kern w:val="0"/>
                <w:sz w:val="24"/>
              </w:rPr>
              <w:t>南通市农业农村局2024年文书及业务等档案整理服务项目</w:t>
            </w:r>
          </w:p>
        </w:tc>
        <w:tc>
          <w:tcPr>
            <w:tcW w:w="4658" w:type="dxa"/>
          </w:tcPr>
          <w:p>
            <w:pPr>
              <w:jc w:val="left"/>
              <w:rPr>
                <w:rFonts w:ascii="宋体" w:hAnsi="宋体" w:cs="仿宋_GB2312"/>
                <w:color w:val="auto"/>
                <w:kern w:val="0"/>
                <w:sz w:val="24"/>
              </w:rPr>
            </w:pPr>
          </w:p>
          <w:p>
            <w:pPr>
              <w:jc w:val="left"/>
              <w:rPr>
                <w:rFonts w:ascii="宋体" w:hAnsi="宋体" w:cs="仿宋_GB2312"/>
                <w:color w:val="auto"/>
                <w:kern w:val="0"/>
                <w:sz w:val="24"/>
              </w:rPr>
            </w:pPr>
            <w:r>
              <w:rPr>
                <w:rFonts w:hint="eastAsia" w:ascii="宋体" w:hAnsi="宋体" w:cs="仿宋_GB2312"/>
                <w:color w:val="auto"/>
                <w:kern w:val="0"/>
                <w:sz w:val="24"/>
              </w:rPr>
              <w:t>大写：元（人民币）</w:t>
            </w:r>
          </w:p>
          <w:p>
            <w:pPr>
              <w:pStyle w:val="22"/>
              <w:ind w:firstLine="240"/>
              <w:rPr>
                <w:color w:val="auto"/>
              </w:rPr>
            </w:pPr>
          </w:p>
          <w:p>
            <w:pPr>
              <w:jc w:val="left"/>
              <w:rPr>
                <w:rFonts w:ascii="宋体" w:hAnsi="宋体" w:cs="仿宋"/>
                <w:color w:val="auto"/>
                <w:kern w:val="0"/>
                <w:sz w:val="24"/>
              </w:rPr>
            </w:pPr>
            <w:r>
              <w:rPr>
                <w:rFonts w:hint="eastAsia" w:ascii="宋体" w:hAnsi="宋体" w:cs="仿宋_GB2312"/>
                <w:color w:val="auto"/>
                <w:kern w:val="0"/>
                <w:sz w:val="24"/>
              </w:rPr>
              <w:t>小写：元（人民币）</w:t>
            </w:r>
          </w:p>
        </w:tc>
      </w:tr>
    </w:tbl>
    <w:p>
      <w:pPr>
        <w:rPr>
          <w:rFonts w:ascii="宋体" w:hAnsi="宋体" w:cs="仿宋"/>
          <w:color w:val="auto"/>
          <w:kern w:val="0"/>
          <w:sz w:val="24"/>
        </w:rPr>
      </w:pPr>
      <w:r>
        <w:rPr>
          <w:rFonts w:hint="eastAsia" w:ascii="宋体" w:hAnsi="宋体" w:cs="仿宋"/>
          <w:color w:val="auto"/>
          <w:kern w:val="0"/>
          <w:sz w:val="24"/>
        </w:rPr>
        <w:t>日期：</w:t>
      </w:r>
    </w:p>
    <w:p>
      <w:pPr>
        <w:rPr>
          <w:rFonts w:ascii="宋体" w:hAnsi="宋体" w:cs="仿宋"/>
          <w:color w:val="auto"/>
          <w:kern w:val="0"/>
          <w:sz w:val="24"/>
        </w:rPr>
      </w:pPr>
    </w:p>
    <w:p>
      <w:pPr>
        <w:rPr>
          <w:rFonts w:ascii="宋体" w:hAnsi="宋体" w:cs="仿宋"/>
          <w:color w:val="auto"/>
          <w:kern w:val="0"/>
          <w:sz w:val="24"/>
        </w:rPr>
      </w:pPr>
    </w:p>
    <w:p>
      <w:pPr>
        <w:rPr>
          <w:rFonts w:ascii="宋体" w:hAnsi="宋体" w:cs="仿宋"/>
          <w:color w:val="auto"/>
          <w:kern w:val="0"/>
          <w:sz w:val="24"/>
        </w:rPr>
      </w:pPr>
    </w:p>
    <w:p>
      <w:pPr>
        <w:rPr>
          <w:rFonts w:ascii="宋体" w:hAnsi="宋体" w:cs="仿宋"/>
          <w:color w:val="auto"/>
          <w:kern w:val="0"/>
          <w:sz w:val="24"/>
        </w:rPr>
      </w:pPr>
    </w:p>
    <w:p>
      <w:pPr>
        <w:rPr>
          <w:rFonts w:ascii="宋体" w:hAnsi="宋体" w:cs="仿宋"/>
          <w:color w:val="auto"/>
          <w:kern w:val="0"/>
          <w:sz w:val="24"/>
        </w:rPr>
      </w:pPr>
      <w:r>
        <w:rPr>
          <w:rFonts w:hint="eastAsia" w:ascii="宋体" w:hAnsi="宋体" w:cs="仿宋"/>
          <w:color w:val="auto"/>
          <w:kern w:val="0"/>
          <w:sz w:val="24"/>
        </w:rPr>
        <w:t>填写说明：</w:t>
      </w:r>
    </w:p>
    <w:p>
      <w:pPr>
        <w:spacing w:line="480" w:lineRule="auto"/>
        <w:rPr>
          <w:rFonts w:ascii="宋体" w:hAnsi="宋体" w:cs="仿宋"/>
          <w:color w:val="auto"/>
          <w:kern w:val="0"/>
          <w:sz w:val="24"/>
        </w:rPr>
      </w:pPr>
      <w:r>
        <w:rPr>
          <w:rFonts w:ascii="宋体" w:hAnsi="宋体" w:cs="仿宋"/>
          <w:color w:val="auto"/>
          <w:kern w:val="0"/>
          <w:sz w:val="24"/>
        </w:rPr>
        <w:t>1</w:t>
      </w:r>
      <w:r>
        <w:rPr>
          <w:rFonts w:hint="eastAsia" w:ascii="宋体" w:hAnsi="宋体" w:cs="仿宋"/>
          <w:color w:val="auto"/>
          <w:kern w:val="0"/>
          <w:sz w:val="24"/>
        </w:rPr>
        <w:t>、报价总表必须加盖供应商公章（复印件无效）。</w:t>
      </w:r>
    </w:p>
    <w:p>
      <w:pPr>
        <w:spacing w:line="480" w:lineRule="auto"/>
        <w:rPr>
          <w:rFonts w:ascii="宋体" w:hAnsi="宋体" w:cs="仿宋"/>
          <w:color w:val="auto"/>
          <w:kern w:val="0"/>
          <w:sz w:val="24"/>
        </w:rPr>
      </w:pPr>
      <w:r>
        <w:rPr>
          <w:rFonts w:ascii="宋体" w:hAnsi="宋体" w:cs="仿宋"/>
          <w:color w:val="auto"/>
          <w:kern w:val="0"/>
          <w:sz w:val="24"/>
        </w:rPr>
        <w:t>2</w:t>
      </w:r>
      <w:r>
        <w:rPr>
          <w:rFonts w:hint="eastAsia" w:ascii="宋体" w:hAnsi="宋体" w:cs="仿宋"/>
          <w:color w:val="auto"/>
          <w:kern w:val="0"/>
          <w:sz w:val="24"/>
        </w:rPr>
        <w:t>、投标报价不得高于最高限价，否则做无效标处理。</w:t>
      </w:r>
    </w:p>
    <w:p>
      <w:pPr>
        <w:spacing w:line="480" w:lineRule="auto"/>
        <w:rPr>
          <w:rFonts w:ascii="宋体" w:hAnsi="宋体" w:cs="仿宋"/>
          <w:color w:val="auto"/>
          <w:kern w:val="0"/>
          <w:sz w:val="24"/>
        </w:rPr>
      </w:pPr>
      <w:r>
        <w:rPr>
          <w:rFonts w:hint="eastAsia" w:ascii="宋体" w:hAnsi="宋体" w:cs="仿宋"/>
          <w:color w:val="auto"/>
          <w:kern w:val="0"/>
          <w:sz w:val="24"/>
        </w:rPr>
        <w:t>4、投标总报价（以人民币计价）应包括劳务咨询、资料收集、交通通讯、材料费、机械及工器具使用、检测分析、制作成果、相关伴随服务及后续服务等费用。即包含响应招标文件采购要求和为完成本项目服务所发生的全部费用。</w:t>
      </w:r>
    </w:p>
    <w:p>
      <w:pPr>
        <w:rPr>
          <w:rFonts w:ascii="宋体" w:hAnsi="宋体" w:cs="宋体"/>
          <w:b/>
          <w:color w:val="auto"/>
          <w:sz w:val="44"/>
          <w:szCs w:val="44"/>
        </w:rPr>
      </w:pPr>
    </w:p>
    <w:sectPr>
      <w:pgSz w:w="11907" w:h="16839"/>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roman"/>
    <w:pitch w:val="default"/>
    <w:sig w:usb0="A00002FF" w:usb1="28CFFCFA" w:usb2="00000016" w:usb3="00000000" w:csb0="0010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2135" cy="147955"/>
              <wp:effectExtent l="0" t="0" r="0" b="0"/>
              <wp:wrapNone/>
              <wp:docPr id="176901709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2135" cy="147955"/>
                      </a:xfrm>
                      <a:prstGeom prst="rect">
                        <a:avLst/>
                      </a:prstGeom>
                      <a:noFill/>
                      <a:ln>
                        <a:noFill/>
                      </a:ln>
                      <a:effectLst/>
                    </wps:spPr>
                    <wps:txbx>
                      <w:txbxContent>
                        <w:p>
                          <w:pPr>
                            <w:pStyle w:val="17"/>
                          </w:pPr>
                          <w:r>
                            <w:t>第</w:t>
                          </w:r>
                          <w:r>
                            <w:fldChar w:fldCharType="begin"/>
                          </w:r>
                          <w:r>
                            <w:instrText xml:space="preserve"> PAGE  \* MERGEFORMAT </w:instrText>
                          </w:r>
                          <w:r>
                            <w:fldChar w:fldCharType="separate"/>
                          </w:r>
                          <w:r>
                            <w:t>27</w:t>
                          </w:r>
                          <w:r>
                            <w:fldChar w:fldCharType="end"/>
                          </w:r>
                          <w:r>
                            <w:t>页共</w:t>
                          </w:r>
                          <w:r>
                            <w:fldChar w:fldCharType="begin"/>
                          </w:r>
                          <w:r>
                            <w:instrText xml:space="preserve"> NUMPAGES  \* MERGEFORMAT </w:instrText>
                          </w:r>
                          <w:r>
                            <w:fldChar w:fldCharType="separate"/>
                          </w:r>
                          <w:r>
                            <w:t>27</w:t>
                          </w:r>
                          <w:r>
                            <w:fldChar w:fldCharType="end"/>
                          </w:r>
                          <w:r>
                            <w:t>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45.05pt;mso-position-horizontal:center;mso-position-horizontal-relative:margin;mso-wrap-style:none;z-index:251659264;mso-width-relative:page;mso-height-relative:page;" filled="f" stroked="f" coordsize="21600,21600" o:gfxdata="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YjMrNEAAAADAQAADwAAAAAAAAAB&#10;ACAAAAAiAAAAZHJzL2Rvd25yZXYueG1sUEsBAhQAFAAAAAgAh07iQB5D8mgXAgAAGQQAAA4AAAAA&#10;AAAAAQAgAAAAIAEAAGRycy9lMm9Eb2MueG1sUEsFBgAAAAAGAAYAWQEAAKkFAAAAAA==&#10;">
              <v:fill on="f" focussize="0,0"/>
              <v:stroke on="f"/>
              <v:imagedata o:title=""/>
              <o:lock v:ext="edit" aspectratio="f"/>
              <v:textbox inset="0mm,0mm,0mm,0mm" style="mso-fit-shape-to-text:t;">
                <w:txbxContent>
                  <w:p>
                    <w:pPr>
                      <w:pStyle w:val="17"/>
                    </w:pPr>
                    <w:r>
                      <w:t>第</w:t>
                    </w:r>
                    <w:r>
                      <w:fldChar w:fldCharType="begin"/>
                    </w:r>
                    <w:r>
                      <w:instrText xml:space="preserve"> PAGE  \* MERGEFORMAT </w:instrText>
                    </w:r>
                    <w:r>
                      <w:fldChar w:fldCharType="separate"/>
                    </w:r>
                    <w:r>
                      <w:t>27</w:t>
                    </w:r>
                    <w:r>
                      <w:fldChar w:fldCharType="end"/>
                    </w:r>
                    <w:r>
                      <w:t>页共</w:t>
                    </w:r>
                    <w:r>
                      <w:fldChar w:fldCharType="begin"/>
                    </w:r>
                    <w:r>
                      <w:instrText xml:space="preserve"> NUMPAGES  \* MERGEFORMAT </w:instrText>
                    </w:r>
                    <w:r>
                      <w:fldChar w:fldCharType="separate"/>
                    </w:r>
                    <w:r>
                      <w:t>27</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AC32A1"/>
    <w:multiLevelType w:val="singleLevel"/>
    <w:tmpl w:val="F9AC32A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iNTIwOTIzOTlhMTA5N2QzMTYxZDc0ZTg1MjBkMzkifQ=="/>
    <w:docVar w:name="KSO_WPS_MARK_KEY" w:val="3fc76580-be1c-491a-8782-6f1490852d52"/>
  </w:docVars>
  <w:rsids>
    <w:rsidRoot w:val="00E1428C"/>
    <w:rsid w:val="00001A09"/>
    <w:rsid w:val="000027DF"/>
    <w:rsid w:val="00004FB3"/>
    <w:rsid w:val="00006069"/>
    <w:rsid w:val="00006222"/>
    <w:rsid w:val="00006B64"/>
    <w:rsid w:val="00006E64"/>
    <w:rsid w:val="00007342"/>
    <w:rsid w:val="00010C3F"/>
    <w:rsid w:val="00011F29"/>
    <w:rsid w:val="00012F0F"/>
    <w:rsid w:val="00013DC0"/>
    <w:rsid w:val="000214C9"/>
    <w:rsid w:val="00021EE5"/>
    <w:rsid w:val="000247CE"/>
    <w:rsid w:val="000249D8"/>
    <w:rsid w:val="00027214"/>
    <w:rsid w:val="00031E5F"/>
    <w:rsid w:val="00031E8B"/>
    <w:rsid w:val="00033A03"/>
    <w:rsid w:val="00034FFC"/>
    <w:rsid w:val="00035F29"/>
    <w:rsid w:val="000363E7"/>
    <w:rsid w:val="00040BC7"/>
    <w:rsid w:val="00043C4F"/>
    <w:rsid w:val="00043CCD"/>
    <w:rsid w:val="0004687B"/>
    <w:rsid w:val="00046AE8"/>
    <w:rsid w:val="00051BE5"/>
    <w:rsid w:val="00051C4B"/>
    <w:rsid w:val="000531E3"/>
    <w:rsid w:val="00055731"/>
    <w:rsid w:val="00057C9F"/>
    <w:rsid w:val="000612C5"/>
    <w:rsid w:val="0006312A"/>
    <w:rsid w:val="00064E5C"/>
    <w:rsid w:val="0006533C"/>
    <w:rsid w:val="000674BE"/>
    <w:rsid w:val="00067D3A"/>
    <w:rsid w:val="000707B4"/>
    <w:rsid w:val="000733BC"/>
    <w:rsid w:val="000733D5"/>
    <w:rsid w:val="000743C3"/>
    <w:rsid w:val="00076A1C"/>
    <w:rsid w:val="00077641"/>
    <w:rsid w:val="000811BB"/>
    <w:rsid w:val="000811FB"/>
    <w:rsid w:val="00081A99"/>
    <w:rsid w:val="0008288C"/>
    <w:rsid w:val="000860E4"/>
    <w:rsid w:val="00090110"/>
    <w:rsid w:val="000930EC"/>
    <w:rsid w:val="000931E9"/>
    <w:rsid w:val="0009351A"/>
    <w:rsid w:val="00093B09"/>
    <w:rsid w:val="00093F93"/>
    <w:rsid w:val="000949F1"/>
    <w:rsid w:val="00096D7E"/>
    <w:rsid w:val="000A3BFD"/>
    <w:rsid w:val="000A5B2F"/>
    <w:rsid w:val="000B0744"/>
    <w:rsid w:val="000B09B6"/>
    <w:rsid w:val="000B5EB7"/>
    <w:rsid w:val="000B78D1"/>
    <w:rsid w:val="000B7DF5"/>
    <w:rsid w:val="000C09DC"/>
    <w:rsid w:val="000C433D"/>
    <w:rsid w:val="000C6148"/>
    <w:rsid w:val="000C6432"/>
    <w:rsid w:val="000C660A"/>
    <w:rsid w:val="000C70B7"/>
    <w:rsid w:val="000D0543"/>
    <w:rsid w:val="000D0B35"/>
    <w:rsid w:val="000D3C5A"/>
    <w:rsid w:val="000D4824"/>
    <w:rsid w:val="000D68E3"/>
    <w:rsid w:val="000D6B97"/>
    <w:rsid w:val="000E0E54"/>
    <w:rsid w:val="000E2F2C"/>
    <w:rsid w:val="000E474C"/>
    <w:rsid w:val="000E6565"/>
    <w:rsid w:val="000F22F8"/>
    <w:rsid w:val="000F23EA"/>
    <w:rsid w:val="000F28DF"/>
    <w:rsid w:val="000F2955"/>
    <w:rsid w:val="000F5ACE"/>
    <w:rsid w:val="000F7D4F"/>
    <w:rsid w:val="0010283C"/>
    <w:rsid w:val="00102CB7"/>
    <w:rsid w:val="00104AF2"/>
    <w:rsid w:val="0010514D"/>
    <w:rsid w:val="001104D2"/>
    <w:rsid w:val="00114B88"/>
    <w:rsid w:val="00115E82"/>
    <w:rsid w:val="00116E44"/>
    <w:rsid w:val="001244CE"/>
    <w:rsid w:val="0012592D"/>
    <w:rsid w:val="0012699C"/>
    <w:rsid w:val="00127475"/>
    <w:rsid w:val="00132D06"/>
    <w:rsid w:val="001359DC"/>
    <w:rsid w:val="00137F66"/>
    <w:rsid w:val="0014039A"/>
    <w:rsid w:val="00141B11"/>
    <w:rsid w:val="001443A6"/>
    <w:rsid w:val="0014603C"/>
    <w:rsid w:val="001463C7"/>
    <w:rsid w:val="001467F4"/>
    <w:rsid w:val="00150D31"/>
    <w:rsid w:val="00151847"/>
    <w:rsid w:val="00154178"/>
    <w:rsid w:val="00155581"/>
    <w:rsid w:val="00156591"/>
    <w:rsid w:val="001570D4"/>
    <w:rsid w:val="0015743C"/>
    <w:rsid w:val="00160309"/>
    <w:rsid w:val="0016109E"/>
    <w:rsid w:val="001620CF"/>
    <w:rsid w:val="00162A03"/>
    <w:rsid w:val="001639C2"/>
    <w:rsid w:val="00163D0B"/>
    <w:rsid w:val="0016462E"/>
    <w:rsid w:val="001646CB"/>
    <w:rsid w:val="0016487C"/>
    <w:rsid w:val="0017113F"/>
    <w:rsid w:val="001731C5"/>
    <w:rsid w:val="00173B5F"/>
    <w:rsid w:val="00173C44"/>
    <w:rsid w:val="00174B79"/>
    <w:rsid w:val="0017626E"/>
    <w:rsid w:val="00181ED3"/>
    <w:rsid w:val="00182CCA"/>
    <w:rsid w:val="001869A8"/>
    <w:rsid w:val="00187BE1"/>
    <w:rsid w:val="001903D4"/>
    <w:rsid w:val="0019251D"/>
    <w:rsid w:val="00192DB5"/>
    <w:rsid w:val="001A0364"/>
    <w:rsid w:val="001A0C8B"/>
    <w:rsid w:val="001A1AC6"/>
    <w:rsid w:val="001A3EDD"/>
    <w:rsid w:val="001A47E3"/>
    <w:rsid w:val="001A4D9F"/>
    <w:rsid w:val="001A67C9"/>
    <w:rsid w:val="001B2572"/>
    <w:rsid w:val="001B344D"/>
    <w:rsid w:val="001B663D"/>
    <w:rsid w:val="001B6EC8"/>
    <w:rsid w:val="001C1D5F"/>
    <w:rsid w:val="001C45F5"/>
    <w:rsid w:val="001C4662"/>
    <w:rsid w:val="001C6AFF"/>
    <w:rsid w:val="001D279A"/>
    <w:rsid w:val="001D2D8E"/>
    <w:rsid w:val="001D3500"/>
    <w:rsid w:val="001D4EC2"/>
    <w:rsid w:val="001D66F0"/>
    <w:rsid w:val="001D6723"/>
    <w:rsid w:val="001D6A81"/>
    <w:rsid w:val="001E1433"/>
    <w:rsid w:val="001E53BC"/>
    <w:rsid w:val="001F120D"/>
    <w:rsid w:val="001F3AEC"/>
    <w:rsid w:val="001F4F3E"/>
    <w:rsid w:val="001F7EC5"/>
    <w:rsid w:val="002007BF"/>
    <w:rsid w:val="00201576"/>
    <w:rsid w:val="00204B7C"/>
    <w:rsid w:val="002106EA"/>
    <w:rsid w:val="002131C8"/>
    <w:rsid w:val="00214649"/>
    <w:rsid w:val="00214B6D"/>
    <w:rsid w:val="00215DD8"/>
    <w:rsid w:val="0021679D"/>
    <w:rsid w:val="00221798"/>
    <w:rsid w:val="00223407"/>
    <w:rsid w:val="0022379F"/>
    <w:rsid w:val="002244DA"/>
    <w:rsid w:val="00227E29"/>
    <w:rsid w:val="00230636"/>
    <w:rsid w:val="00232EB6"/>
    <w:rsid w:val="00232EE0"/>
    <w:rsid w:val="002330E2"/>
    <w:rsid w:val="0023425B"/>
    <w:rsid w:val="00234DAB"/>
    <w:rsid w:val="00235DF7"/>
    <w:rsid w:val="00237E0C"/>
    <w:rsid w:val="00241BB8"/>
    <w:rsid w:val="00243068"/>
    <w:rsid w:val="00244939"/>
    <w:rsid w:val="002468F0"/>
    <w:rsid w:val="00247C93"/>
    <w:rsid w:val="00250900"/>
    <w:rsid w:val="002542CA"/>
    <w:rsid w:val="00254472"/>
    <w:rsid w:val="002546EC"/>
    <w:rsid w:val="00254A15"/>
    <w:rsid w:val="00254B39"/>
    <w:rsid w:val="00255AAF"/>
    <w:rsid w:val="002602DD"/>
    <w:rsid w:val="0026242C"/>
    <w:rsid w:val="002647BE"/>
    <w:rsid w:val="00270410"/>
    <w:rsid w:val="00274032"/>
    <w:rsid w:val="002748BD"/>
    <w:rsid w:val="0027499D"/>
    <w:rsid w:val="00275C65"/>
    <w:rsid w:val="002840DC"/>
    <w:rsid w:val="002871A5"/>
    <w:rsid w:val="00290923"/>
    <w:rsid w:val="00291471"/>
    <w:rsid w:val="00292164"/>
    <w:rsid w:val="00294605"/>
    <w:rsid w:val="002975D9"/>
    <w:rsid w:val="002A1054"/>
    <w:rsid w:val="002A287A"/>
    <w:rsid w:val="002A3E8C"/>
    <w:rsid w:val="002A4991"/>
    <w:rsid w:val="002A6988"/>
    <w:rsid w:val="002A7755"/>
    <w:rsid w:val="002A79A7"/>
    <w:rsid w:val="002A7F5E"/>
    <w:rsid w:val="002B1C13"/>
    <w:rsid w:val="002B1C92"/>
    <w:rsid w:val="002B6371"/>
    <w:rsid w:val="002B64B0"/>
    <w:rsid w:val="002C02A7"/>
    <w:rsid w:val="002C04E9"/>
    <w:rsid w:val="002C221F"/>
    <w:rsid w:val="002C29D9"/>
    <w:rsid w:val="002C41EE"/>
    <w:rsid w:val="002C4C6D"/>
    <w:rsid w:val="002C72A6"/>
    <w:rsid w:val="002C7639"/>
    <w:rsid w:val="002D0144"/>
    <w:rsid w:val="002D04B2"/>
    <w:rsid w:val="002D0C68"/>
    <w:rsid w:val="002D1841"/>
    <w:rsid w:val="002D255D"/>
    <w:rsid w:val="002D6B94"/>
    <w:rsid w:val="002D714C"/>
    <w:rsid w:val="002E0E57"/>
    <w:rsid w:val="002E1B37"/>
    <w:rsid w:val="002E27F7"/>
    <w:rsid w:val="002E42CD"/>
    <w:rsid w:val="002E56B3"/>
    <w:rsid w:val="002E5F8C"/>
    <w:rsid w:val="002E7263"/>
    <w:rsid w:val="002F0CF8"/>
    <w:rsid w:val="002F2DDD"/>
    <w:rsid w:val="002F4256"/>
    <w:rsid w:val="002F5BD8"/>
    <w:rsid w:val="002F60B7"/>
    <w:rsid w:val="002F6EC6"/>
    <w:rsid w:val="002F70DF"/>
    <w:rsid w:val="003009D5"/>
    <w:rsid w:val="00300A5F"/>
    <w:rsid w:val="00302E16"/>
    <w:rsid w:val="00310100"/>
    <w:rsid w:val="00310EFD"/>
    <w:rsid w:val="003121B1"/>
    <w:rsid w:val="00314C38"/>
    <w:rsid w:val="00315D45"/>
    <w:rsid w:val="003164A3"/>
    <w:rsid w:val="00320476"/>
    <w:rsid w:val="00320B07"/>
    <w:rsid w:val="00320C34"/>
    <w:rsid w:val="00321CBF"/>
    <w:rsid w:val="00322B57"/>
    <w:rsid w:val="00330686"/>
    <w:rsid w:val="00330CE3"/>
    <w:rsid w:val="0033200D"/>
    <w:rsid w:val="003346BE"/>
    <w:rsid w:val="00334C59"/>
    <w:rsid w:val="003406AD"/>
    <w:rsid w:val="00340A04"/>
    <w:rsid w:val="003436D0"/>
    <w:rsid w:val="00343D2E"/>
    <w:rsid w:val="00343FE0"/>
    <w:rsid w:val="00344B7B"/>
    <w:rsid w:val="003451BB"/>
    <w:rsid w:val="0035199B"/>
    <w:rsid w:val="0035271F"/>
    <w:rsid w:val="00355DE5"/>
    <w:rsid w:val="003602C3"/>
    <w:rsid w:val="003604DF"/>
    <w:rsid w:val="00361079"/>
    <w:rsid w:val="00364309"/>
    <w:rsid w:val="00367A68"/>
    <w:rsid w:val="0037007E"/>
    <w:rsid w:val="0037119F"/>
    <w:rsid w:val="0037319F"/>
    <w:rsid w:val="00375458"/>
    <w:rsid w:val="00381D8F"/>
    <w:rsid w:val="00383292"/>
    <w:rsid w:val="00383417"/>
    <w:rsid w:val="003836DC"/>
    <w:rsid w:val="003843F3"/>
    <w:rsid w:val="00385B36"/>
    <w:rsid w:val="0039137F"/>
    <w:rsid w:val="00395FAE"/>
    <w:rsid w:val="003A3808"/>
    <w:rsid w:val="003A42A7"/>
    <w:rsid w:val="003A4DE4"/>
    <w:rsid w:val="003B1768"/>
    <w:rsid w:val="003B1C66"/>
    <w:rsid w:val="003B38ED"/>
    <w:rsid w:val="003B5148"/>
    <w:rsid w:val="003C6991"/>
    <w:rsid w:val="003C71ED"/>
    <w:rsid w:val="003D041B"/>
    <w:rsid w:val="003D06E5"/>
    <w:rsid w:val="003D199E"/>
    <w:rsid w:val="003D4401"/>
    <w:rsid w:val="003D4B03"/>
    <w:rsid w:val="003D5343"/>
    <w:rsid w:val="003D64B6"/>
    <w:rsid w:val="003E2B34"/>
    <w:rsid w:val="003E3257"/>
    <w:rsid w:val="003E5426"/>
    <w:rsid w:val="003F1853"/>
    <w:rsid w:val="003F3E0C"/>
    <w:rsid w:val="003F4D19"/>
    <w:rsid w:val="003F549E"/>
    <w:rsid w:val="003F5D1B"/>
    <w:rsid w:val="003F7843"/>
    <w:rsid w:val="00403B9D"/>
    <w:rsid w:val="00407224"/>
    <w:rsid w:val="00407903"/>
    <w:rsid w:val="00407BFC"/>
    <w:rsid w:val="004101B0"/>
    <w:rsid w:val="004103F6"/>
    <w:rsid w:val="00410D0B"/>
    <w:rsid w:val="00412036"/>
    <w:rsid w:val="00417B67"/>
    <w:rsid w:val="00422590"/>
    <w:rsid w:val="00422A6E"/>
    <w:rsid w:val="00422FCC"/>
    <w:rsid w:val="00423142"/>
    <w:rsid w:val="00423A4E"/>
    <w:rsid w:val="004247C4"/>
    <w:rsid w:val="00426626"/>
    <w:rsid w:val="00431BA5"/>
    <w:rsid w:val="00432FD1"/>
    <w:rsid w:val="0043442A"/>
    <w:rsid w:val="00434A49"/>
    <w:rsid w:val="004358AD"/>
    <w:rsid w:val="00435AA8"/>
    <w:rsid w:val="004418DE"/>
    <w:rsid w:val="00443016"/>
    <w:rsid w:val="00443C88"/>
    <w:rsid w:val="0044543D"/>
    <w:rsid w:val="00446291"/>
    <w:rsid w:val="004464E9"/>
    <w:rsid w:val="00452A22"/>
    <w:rsid w:val="00454E44"/>
    <w:rsid w:val="00456B89"/>
    <w:rsid w:val="004614FA"/>
    <w:rsid w:val="00461B41"/>
    <w:rsid w:val="00462EA0"/>
    <w:rsid w:val="00464D34"/>
    <w:rsid w:val="00472FA9"/>
    <w:rsid w:val="0047528B"/>
    <w:rsid w:val="0047534E"/>
    <w:rsid w:val="00476030"/>
    <w:rsid w:val="004767BD"/>
    <w:rsid w:val="0048021C"/>
    <w:rsid w:val="00480AC6"/>
    <w:rsid w:val="00481750"/>
    <w:rsid w:val="0048181A"/>
    <w:rsid w:val="00482671"/>
    <w:rsid w:val="00483895"/>
    <w:rsid w:val="00490A35"/>
    <w:rsid w:val="00495061"/>
    <w:rsid w:val="004956F7"/>
    <w:rsid w:val="00495EB8"/>
    <w:rsid w:val="004962A6"/>
    <w:rsid w:val="00496FC3"/>
    <w:rsid w:val="00497322"/>
    <w:rsid w:val="004A1844"/>
    <w:rsid w:val="004A2727"/>
    <w:rsid w:val="004A3046"/>
    <w:rsid w:val="004A4B9D"/>
    <w:rsid w:val="004A704F"/>
    <w:rsid w:val="004A72A4"/>
    <w:rsid w:val="004A7C96"/>
    <w:rsid w:val="004B05CA"/>
    <w:rsid w:val="004B4817"/>
    <w:rsid w:val="004B4B6D"/>
    <w:rsid w:val="004B5A88"/>
    <w:rsid w:val="004C1B27"/>
    <w:rsid w:val="004C201C"/>
    <w:rsid w:val="004C385B"/>
    <w:rsid w:val="004C51E7"/>
    <w:rsid w:val="004D01E3"/>
    <w:rsid w:val="004D144D"/>
    <w:rsid w:val="004D1CDD"/>
    <w:rsid w:val="004D21FC"/>
    <w:rsid w:val="004D2202"/>
    <w:rsid w:val="004D2E8C"/>
    <w:rsid w:val="004D3773"/>
    <w:rsid w:val="004D44E4"/>
    <w:rsid w:val="004D45FF"/>
    <w:rsid w:val="004D5292"/>
    <w:rsid w:val="004D79A7"/>
    <w:rsid w:val="004E152F"/>
    <w:rsid w:val="004E2A00"/>
    <w:rsid w:val="004E2F63"/>
    <w:rsid w:val="004E3BF5"/>
    <w:rsid w:val="004F099F"/>
    <w:rsid w:val="004F1D6B"/>
    <w:rsid w:val="004F3CB4"/>
    <w:rsid w:val="004F551D"/>
    <w:rsid w:val="004F723F"/>
    <w:rsid w:val="00503474"/>
    <w:rsid w:val="00503BA7"/>
    <w:rsid w:val="0050700C"/>
    <w:rsid w:val="005078D4"/>
    <w:rsid w:val="00511197"/>
    <w:rsid w:val="00511A5E"/>
    <w:rsid w:val="00513B39"/>
    <w:rsid w:val="00514E8A"/>
    <w:rsid w:val="00515B97"/>
    <w:rsid w:val="00515D24"/>
    <w:rsid w:val="00516020"/>
    <w:rsid w:val="0052071E"/>
    <w:rsid w:val="00521230"/>
    <w:rsid w:val="00526739"/>
    <w:rsid w:val="00526FC4"/>
    <w:rsid w:val="0052709F"/>
    <w:rsid w:val="00527470"/>
    <w:rsid w:val="00530A3C"/>
    <w:rsid w:val="00532491"/>
    <w:rsid w:val="00533458"/>
    <w:rsid w:val="0053376D"/>
    <w:rsid w:val="00533A7A"/>
    <w:rsid w:val="00534F0F"/>
    <w:rsid w:val="00537FB8"/>
    <w:rsid w:val="00540B38"/>
    <w:rsid w:val="00541A40"/>
    <w:rsid w:val="00542B48"/>
    <w:rsid w:val="00542C35"/>
    <w:rsid w:val="0054329E"/>
    <w:rsid w:val="00545012"/>
    <w:rsid w:val="005468AD"/>
    <w:rsid w:val="00551258"/>
    <w:rsid w:val="00554692"/>
    <w:rsid w:val="00554B19"/>
    <w:rsid w:val="00556006"/>
    <w:rsid w:val="005569D2"/>
    <w:rsid w:val="005576F5"/>
    <w:rsid w:val="00561A91"/>
    <w:rsid w:val="005627F2"/>
    <w:rsid w:val="00562FB5"/>
    <w:rsid w:val="005632D0"/>
    <w:rsid w:val="00570AF4"/>
    <w:rsid w:val="005710D2"/>
    <w:rsid w:val="00573B17"/>
    <w:rsid w:val="00574BC3"/>
    <w:rsid w:val="00574E68"/>
    <w:rsid w:val="00581010"/>
    <w:rsid w:val="00581AA7"/>
    <w:rsid w:val="00585AEF"/>
    <w:rsid w:val="00585EF4"/>
    <w:rsid w:val="00585FAF"/>
    <w:rsid w:val="00586D80"/>
    <w:rsid w:val="00586E7E"/>
    <w:rsid w:val="00587878"/>
    <w:rsid w:val="005909CE"/>
    <w:rsid w:val="0059608C"/>
    <w:rsid w:val="0059678A"/>
    <w:rsid w:val="005A1415"/>
    <w:rsid w:val="005A506D"/>
    <w:rsid w:val="005A5539"/>
    <w:rsid w:val="005A7731"/>
    <w:rsid w:val="005B02F9"/>
    <w:rsid w:val="005B0E49"/>
    <w:rsid w:val="005B1F16"/>
    <w:rsid w:val="005B1F8C"/>
    <w:rsid w:val="005B21BD"/>
    <w:rsid w:val="005B2C71"/>
    <w:rsid w:val="005B5D7D"/>
    <w:rsid w:val="005B688B"/>
    <w:rsid w:val="005B71B9"/>
    <w:rsid w:val="005C06AF"/>
    <w:rsid w:val="005C0BF8"/>
    <w:rsid w:val="005C20F7"/>
    <w:rsid w:val="005C2ABD"/>
    <w:rsid w:val="005C38A7"/>
    <w:rsid w:val="005C7301"/>
    <w:rsid w:val="005C7A1F"/>
    <w:rsid w:val="005D015B"/>
    <w:rsid w:val="005D0AD7"/>
    <w:rsid w:val="005D0C2B"/>
    <w:rsid w:val="005D2DCB"/>
    <w:rsid w:val="005D7364"/>
    <w:rsid w:val="005D7993"/>
    <w:rsid w:val="005E1A14"/>
    <w:rsid w:val="005E44C9"/>
    <w:rsid w:val="005E4685"/>
    <w:rsid w:val="005E5BB9"/>
    <w:rsid w:val="005F1266"/>
    <w:rsid w:val="005F16EC"/>
    <w:rsid w:val="005F3B36"/>
    <w:rsid w:val="005F4B25"/>
    <w:rsid w:val="005F4F51"/>
    <w:rsid w:val="005F57EA"/>
    <w:rsid w:val="005F6069"/>
    <w:rsid w:val="005F60A5"/>
    <w:rsid w:val="005F70F9"/>
    <w:rsid w:val="005F7ACA"/>
    <w:rsid w:val="006001DA"/>
    <w:rsid w:val="00603D1A"/>
    <w:rsid w:val="0060542F"/>
    <w:rsid w:val="00605FEF"/>
    <w:rsid w:val="00606808"/>
    <w:rsid w:val="0060685A"/>
    <w:rsid w:val="00606BE4"/>
    <w:rsid w:val="006078EC"/>
    <w:rsid w:val="0061376F"/>
    <w:rsid w:val="00614C21"/>
    <w:rsid w:val="00615482"/>
    <w:rsid w:val="00615983"/>
    <w:rsid w:val="00615F7F"/>
    <w:rsid w:val="00616192"/>
    <w:rsid w:val="00621D6D"/>
    <w:rsid w:val="00624F5F"/>
    <w:rsid w:val="0062611B"/>
    <w:rsid w:val="006277EC"/>
    <w:rsid w:val="00632BD0"/>
    <w:rsid w:val="00634A4B"/>
    <w:rsid w:val="00635ECA"/>
    <w:rsid w:val="00637DDA"/>
    <w:rsid w:val="00642E22"/>
    <w:rsid w:val="00651389"/>
    <w:rsid w:val="0065148D"/>
    <w:rsid w:val="00655F61"/>
    <w:rsid w:val="00663E65"/>
    <w:rsid w:val="00665DDD"/>
    <w:rsid w:val="00667586"/>
    <w:rsid w:val="006679E2"/>
    <w:rsid w:val="0067083A"/>
    <w:rsid w:val="00670CCF"/>
    <w:rsid w:val="00670E4B"/>
    <w:rsid w:val="0067155A"/>
    <w:rsid w:val="006724BC"/>
    <w:rsid w:val="006746C4"/>
    <w:rsid w:val="006771C9"/>
    <w:rsid w:val="00677ABA"/>
    <w:rsid w:val="00684B51"/>
    <w:rsid w:val="00687A51"/>
    <w:rsid w:val="00690502"/>
    <w:rsid w:val="00691715"/>
    <w:rsid w:val="0069299B"/>
    <w:rsid w:val="006A18BC"/>
    <w:rsid w:val="006A4C2F"/>
    <w:rsid w:val="006A5C54"/>
    <w:rsid w:val="006A5D76"/>
    <w:rsid w:val="006B2BD2"/>
    <w:rsid w:val="006B5071"/>
    <w:rsid w:val="006B6DA9"/>
    <w:rsid w:val="006B71E7"/>
    <w:rsid w:val="006C5470"/>
    <w:rsid w:val="006C5AA4"/>
    <w:rsid w:val="006C6D70"/>
    <w:rsid w:val="006C7523"/>
    <w:rsid w:val="006D02A2"/>
    <w:rsid w:val="006D12EF"/>
    <w:rsid w:val="006D6598"/>
    <w:rsid w:val="006D6A87"/>
    <w:rsid w:val="006D6D47"/>
    <w:rsid w:val="006E3200"/>
    <w:rsid w:val="006E3E45"/>
    <w:rsid w:val="006E4A3F"/>
    <w:rsid w:val="006E5AD6"/>
    <w:rsid w:val="006F0802"/>
    <w:rsid w:val="006F2B16"/>
    <w:rsid w:val="006F2FDC"/>
    <w:rsid w:val="0070050A"/>
    <w:rsid w:val="00701FC9"/>
    <w:rsid w:val="00702715"/>
    <w:rsid w:val="00703177"/>
    <w:rsid w:val="00704A79"/>
    <w:rsid w:val="00706A7D"/>
    <w:rsid w:val="007070D1"/>
    <w:rsid w:val="007110EF"/>
    <w:rsid w:val="00714C6D"/>
    <w:rsid w:val="00714EE0"/>
    <w:rsid w:val="007155C8"/>
    <w:rsid w:val="00716863"/>
    <w:rsid w:val="00716D87"/>
    <w:rsid w:val="00717570"/>
    <w:rsid w:val="007177BD"/>
    <w:rsid w:val="00717CC3"/>
    <w:rsid w:val="00721F06"/>
    <w:rsid w:val="00723E77"/>
    <w:rsid w:val="00725C76"/>
    <w:rsid w:val="00726914"/>
    <w:rsid w:val="007276C7"/>
    <w:rsid w:val="007300A3"/>
    <w:rsid w:val="007306B8"/>
    <w:rsid w:val="00731236"/>
    <w:rsid w:val="00731C55"/>
    <w:rsid w:val="00732767"/>
    <w:rsid w:val="0073472E"/>
    <w:rsid w:val="00736373"/>
    <w:rsid w:val="00737C17"/>
    <w:rsid w:val="0074639A"/>
    <w:rsid w:val="00747E37"/>
    <w:rsid w:val="00750267"/>
    <w:rsid w:val="00750BA6"/>
    <w:rsid w:val="007513A7"/>
    <w:rsid w:val="00751504"/>
    <w:rsid w:val="007517B2"/>
    <w:rsid w:val="007526C6"/>
    <w:rsid w:val="0075320C"/>
    <w:rsid w:val="007536EF"/>
    <w:rsid w:val="00753BF0"/>
    <w:rsid w:val="0075467C"/>
    <w:rsid w:val="00755FC7"/>
    <w:rsid w:val="00757411"/>
    <w:rsid w:val="00760802"/>
    <w:rsid w:val="00760CB0"/>
    <w:rsid w:val="00760DDB"/>
    <w:rsid w:val="0076390F"/>
    <w:rsid w:val="00765BEA"/>
    <w:rsid w:val="007666DE"/>
    <w:rsid w:val="0077291C"/>
    <w:rsid w:val="007738FD"/>
    <w:rsid w:val="00773A5D"/>
    <w:rsid w:val="00776598"/>
    <w:rsid w:val="00776D95"/>
    <w:rsid w:val="00781919"/>
    <w:rsid w:val="007826F0"/>
    <w:rsid w:val="00784EFC"/>
    <w:rsid w:val="007850A8"/>
    <w:rsid w:val="00787BE5"/>
    <w:rsid w:val="00791CD7"/>
    <w:rsid w:val="00792E96"/>
    <w:rsid w:val="00793250"/>
    <w:rsid w:val="00794B53"/>
    <w:rsid w:val="007975A1"/>
    <w:rsid w:val="007A116D"/>
    <w:rsid w:val="007A29EE"/>
    <w:rsid w:val="007A2A54"/>
    <w:rsid w:val="007B0654"/>
    <w:rsid w:val="007B10D0"/>
    <w:rsid w:val="007B39F7"/>
    <w:rsid w:val="007B4D8F"/>
    <w:rsid w:val="007B5B52"/>
    <w:rsid w:val="007B6989"/>
    <w:rsid w:val="007B77F4"/>
    <w:rsid w:val="007C1564"/>
    <w:rsid w:val="007C1C13"/>
    <w:rsid w:val="007C2E08"/>
    <w:rsid w:val="007C456E"/>
    <w:rsid w:val="007C4F92"/>
    <w:rsid w:val="007C63C9"/>
    <w:rsid w:val="007C6456"/>
    <w:rsid w:val="007D1241"/>
    <w:rsid w:val="007D1696"/>
    <w:rsid w:val="007D4874"/>
    <w:rsid w:val="007D5914"/>
    <w:rsid w:val="007D76AC"/>
    <w:rsid w:val="007E04C2"/>
    <w:rsid w:val="007E3A62"/>
    <w:rsid w:val="007E4448"/>
    <w:rsid w:val="007E4C1C"/>
    <w:rsid w:val="007F098A"/>
    <w:rsid w:val="007F1A35"/>
    <w:rsid w:val="007F1DB3"/>
    <w:rsid w:val="007F6A4A"/>
    <w:rsid w:val="007F7F83"/>
    <w:rsid w:val="00800DC9"/>
    <w:rsid w:val="00802238"/>
    <w:rsid w:val="0080270D"/>
    <w:rsid w:val="00803663"/>
    <w:rsid w:val="0080455C"/>
    <w:rsid w:val="00805346"/>
    <w:rsid w:val="00806901"/>
    <w:rsid w:val="00807C9C"/>
    <w:rsid w:val="00810974"/>
    <w:rsid w:val="00811C64"/>
    <w:rsid w:val="0081445E"/>
    <w:rsid w:val="0081539D"/>
    <w:rsid w:val="0081728D"/>
    <w:rsid w:val="00820BBA"/>
    <w:rsid w:val="00821610"/>
    <w:rsid w:val="00825CEA"/>
    <w:rsid w:val="00826495"/>
    <w:rsid w:val="00826A8E"/>
    <w:rsid w:val="008276AF"/>
    <w:rsid w:val="00827AB4"/>
    <w:rsid w:val="008346D9"/>
    <w:rsid w:val="00834E31"/>
    <w:rsid w:val="00835269"/>
    <w:rsid w:val="008364CF"/>
    <w:rsid w:val="00836F06"/>
    <w:rsid w:val="0084148A"/>
    <w:rsid w:val="00841969"/>
    <w:rsid w:val="0084230F"/>
    <w:rsid w:val="00843E6D"/>
    <w:rsid w:val="0084449A"/>
    <w:rsid w:val="0084496E"/>
    <w:rsid w:val="00846157"/>
    <w:rsid w:val="00851F7D"/>
    <w:rsid w:val="008535D2"/>
    <w:rsid w:val="00854624"/>
    <w:rsid w:val="0086135E"/>
    <w:rsid w:val="008619A1"/>
    <w:rsid w:val="00861D87"/>
    <w:rsid w:val="00861F35"/>
    <w:rsid w:val="0086246D"/>
    <w:rsid w:val="00862904"/>
    <w:rsid w:val="008646B1"/>
    <w:rsid w:val="008660CD"/>
    <w:rsid w:val="00870789"/>
    <w:rsid w:val="0087299F"/>
    <w:rsid w:val="0087426A"/>
    <w:rsid w:val="008752BA"/>
    <w:rsid w:val="008756CF"/>
    <w:rsid w:val="0087707F"/>
    <w:rsid w:val="00880AE4"/>
    <w:rsid w:val="00881756"/>
    <w:rsid w:val="0088337A"/>
    <w:rsid w:val="00884FBF"/>
    <w:rsid w:val="008858B1"/>
    <w:rsid w:val="00886511"/>
    <w:rsid w:val="00887480"/>
    <w:rsid w:val="00887FD2"/>
    <w:rsid w:val="00894D65"/>
    <w:rsid w:val="00895657"/>
    <w:rsid w:val="008966C9"/>
    <w:rsid w:val="00897A59"/>
    <w:rsid w:val="008A2A50"/>
    <w:rsid w:val="008A4BAB"/>
    <w:rsid w:val="008A662B"/>
    <w:rsid w:val="008A778E"/>
    <w:rsid w:val="008A7EED"/>
    <w:rsid w:val="008B399C"/>
    <w:rsid w:val="008B54A4"/>
    <w:rsid w:val="008B5D02"/>
    <w:rsid w:val="008B6038"/>
    <w:rsid w:val="008B7D19"/>
    <w:rsid w:val="008C617D"/>
    <w:rsid w:val="008C67B4"/>
    <w:rsid w:val="008C6E04"/>
    <w:rsid w:val="008D0955"/>
    <w:rsid w:val="008D099A"/>
    <w:rsid w:val="008D13F8"/>
    <w:rsid w:val="008D19E0"/>
    <w:rsid w:val="008D5D69"/>
    <w:rsid w:val="008E05A2"/>
    <w:rsid w:val="008E0F02"/>
    <w:rsid w:val="008E4EE4"/>
    <w:rsid w:val="008E61F1"/>
    <w:rsid w:val="008E6ABA"/>
    <w:rsid w:val="008E6C8B"/>
    <w:rsid w:val="008E7641"/>
    <w:rsid w:val="008F141B"/>
    <w:rsid w:val="008F5E85"/>
    <w:rsid w:val="008F70FC"/>
    <w:rsid w:val="008F7DAD"/>
    <w:rsid w:val="00900FB2"/>
    <w:rsid w:val="009015EF"/>
    <w:rsid w:val="00901DB7"/>
    <w:rsid w:val="00904499"/>
    <w:rsid w:val="00904AA6"/>
    <w:rsid w:val="00906B25"/>
    <w:rsid w:val="00906EE0"/>
    <w:rsid w:val="00912E3B"/>
    <w:rsid w:val="00916E16"/>
    <w:rsid w:val="009209D2"/>
    <w:rsid w:val="009235DA"/>
    <w:rsid w:val="00930118"/>
    <w:rsid w:val="009313F0"/>
    <w:rsid w:val="009325CD"/>
    <w:rsid w:val="00935232"/>
    <w:rsid w:val="009357B9"/>
    <w:rsid w:val="00935B34"/>
    <w:rsid w:val="00937D34"/>
    <w:rsid w:val="00941FC0"/>
    <w:rsid w:val="009462E4"/>
    <w:rsid w:val="009462EB"/>
    <w:rsid w:val="00946DBA"/>
    <w:rsid w:val="009501A5"/>
    <w:rsid w:val="0095029E"/>
    <w:rsid w:val="00950720"/>
    <w:rsid w:val="00950772"/>
    <w:rsid w:val="00951CB7"/>
    <w:rsid w:val="009606F2"/>
    <w:rsid w:val="00961274"/>
    <w:rsid w:val="00961CEF"/>
    <w:rsid w:val="00962975"/>
    <w:rsid w:val="00963A5D"/>
    <w:rsid w:val="009666EA"/>
    <w:rsid w:val="00970A22"/>
    <w:rsid w:val="00971AA2"/>
    <w:rsid w:val="00973D4B"/>
    <w:rsid w:val="00981AB2"/>
    <w:rsid w:val="00981C49"/>
    <w:rsid w:val="009835B6"/>
    <w:rsid w:val="0098598E"/>
    <w:rsid w:val="0099104D"/>
    <w:rsid w:val="0099357A"/>
    <w:rsid w:val="009960BD"/>
    <w:rsid w:val="009A2102"/>
    <w:rsid w:val="009A2379"/>
    <w:rsid w:val="009A270A"/>
    <w:rsid w:val="009A376E"/>
    <w:rsid w:val="009A6905"/>
    <w:rsid w:val="009B0D30"/>
    <w:rsid w:val="009B2C76"/>
    <w:rsid w:val="009B47BE"/>
    <w:rsid w:val="009B4AAA"/>
    <w:rsid w:val="009C00B4"/>
    <w:rsid w:val="009C1E60"/>
    <w:rsid w:val="009C260F"/>
    <w:rsid w:val="009C2B05"/>
    <w:rsid w:val="009C3809"/>
    <w:rsid w:val="009C44F2"/>
    <w:rsid w:val="009C5FA5"/>
    <w:rsid w:val="009C62C2"/>
    <w:rsid w:val="009C6DB3"/>
    <w:rsid w:val="009D085C"/>
    <w:rsid w:val="009D3960"/>
    <w:rsid w:val="009D5073"/>
    <w:rsid w:val="009D5DD0"/>
    <w:rsid w:val="009D6C42"/>
    <w:rsid w:val="009D76F6"/>
    <w:rsid w:val="009D7D3B"/>
    <w:rsid w:val="009D7ECB"/>
    <w:rsid w:val="009E1273"/>
    <w:rsid w:val="009E25F3"/>
    <w:rsid w:val="009E2A30"/>
    <w:rsid w:val="009E2B98"/>
    <w:rsid w:val="009E2D5F"/>
    <w:rsid w:val="009E33FD"/>
    <w:rsid w:val="009F390E"/>
    <w:rsid w:val="009F3C05"/>
    <w:rsid w:val="009F481A"/>
    <w:rsid w:val="009F491F"/>
    <w:rsid w:val="009F5BBC"/>
    <w:rsid w:val="009F6C56"/>
    <w:rsid w:val="00A005C1"/>
    <w:rsid w:val="00A044A5"/>
    <w:rsid w:val="00A062B5"/>
    <w:rsid w:val="00A06A12"/>
    <w:rsid w:val="00A07DC9"/>
    <w:rsid w:val="00A1045F"/>
    <w:rsid w:val="00A1184C"/>
    <w:rsid w:val="00A12970"/>
    <w:rsid w:val="00A13ECB"/>
    <w:rsid w:val="00A140A1"/>
    <w:rsid w:val="00A16E4A"/>
    <w:rsid w:val="00A20293"/>
    <w:rsid w:val="00A21B17"/>
    <w:rsid w:val="00A21E0B"/>
    <w:rsid w:val="00A22E72"/>
    <w:rsid w:val="00A26193"/>
    <w:rsid w:val="00A3120C"/>
    <w:rsid w:val="00A31C8C"/>
    <w:rsid w:val="00A337AF"/>
    <w:rsid w:val="00A34F35"/>
    <w:rsid w:val="00A41C16"/>
    <w:rsid w:val="00A4252F"/>
    <w:rsid w:val="00A43E5B"/>
    <w:rsid w:val="00A4492E"/>
    <w:rsid w:val="00A4524C"/>
    <w:rsid w:val="00A45CD1"/>
    <w:rsid w:val="00A51B03"/>
    <w:rsid w:val="00A51BDE"/>
    <w:rsid w:val="00A52025"/>
    <w:rsid w:val="00A551FD"/>
    <w:rsid w:val="00A5669E"/>
    <w:rsid w:val="00A57106"/>
    <w:rsid w:val="00A60435"/>
    <w:rsid w:val="00A61617"/>
    <w:rsid w:val="00A63925"/>
    <w:rsid w:val="00A63EC2"/>
    <w:rsid w:val="00A70DDB"/>
    <w:rsid w:val="00A7144E"/>
    <w:rsid w:val="00A73C9D"/>
    <w:rsid w:val="00A767FF"/>
    <w:rsid w:val="00A769D3"/>
    <w:rsid w:val="00A803FB"/>
    <w:rsid w:val="00A82845"/>
    <w:rsid w:val="00A839D1"/>
    <w:rsid w:val="00A85F9C"/>
    <w:rsid w:val="00A86330"/>
    <w:rsid w:val="00A86999"/>
    <w:rsid w:val="00A9167C"/>
    <w:rsid w:val="00A959CC"/>
    <w:rsid w:val="00AA246F"/>
    <w:rsid w:val="00AA2866"/>
    <w:rsid w:val="00AA2A90"/>
    <w:rsid w:val="00AA4BD2"/>
    <w:rsid w:val="00AA664D"/>
    <w:rsid w:val="00AB0BBE"/>
    <w:rsid w:val="00AB1E43"/>
    <w:rsid w:val="00AB43A7"/>
    <w:rsid w:val="00AB44AD"/>
    <w:rsid w:val="00AB5F14"/>
    <w:rsid w:val="00AB70E0"/>
    <w:rsid w:val="00AB751F"/>
    <w:rsid w:val="00AC05F9"/>
    <w:rsid w:val="00AC0D38"/>
    <w:rsid w:val="00AC2232"/>
    <w:rsid w:val="00AC28FC"/>
    <w:rsid w:val="00AC3BE8"/>
    <w:rsid w:val="00AC3F30"/>
    <w:rsid w:val="00AC5DF2"/>
    <w:rsid w:val="00AD03F1"/>
    <w:rsid w:val="00AD13A1"/>
    <w:rsid w:val="00AD16CF"/>
    <w:rsid w:val="00AD2CDE"/>
    <w:rsid w:val="00AD49B2"/>
    <w:rsid w:val="00AD5688"/>
    <w:rsid w:val="00AD5E0C"/>
    <w:rsid w:val="00AD65A2"/>
    <w:rsid w:val="00AD775E"/>
    <w:rsid w:val="00AE040F"/>
    <w:rsid w:val="00AE0617"/>
    <w:rsid w:val="00AE6E0C"/>
    <w:rsid w:val="00AE7343"/>
    <w:rsid w:val="00AE7E5F"/>
    <w:rsid w:val="00AF0BB1"/>
    <w:rsid w:val="00AF201C"/>
    <w:rsid w:val="00AF3DFF"/>
    <w:rsid w:val="00AF400D"/>
    <w:rsid w:val="00B012B5"/>
    <w:rsid w:val="00B03B6E"/>
    <w:rsid w:val="00B041B3"/>
    <w:rsid w:val="00B04FC9"/>
    <w:rsid w:val="00B07CFC"/>
    <w:rsid w:val="00B12763"/>
    <w:rsid w:val="00B12DBC"/>
    <w:rsid w:val="00B13F4C"/>
    <w:rsid w:val="00B16451"/>
    <w:rsid w:val="00B208BA"/>
    <w:rsid w:val="00B22B58"/>
    <w:rsid w:val="00B24B44"/>
    <w:rsid w:val="00B2548E"/>
    <w:rsid w:val="00B2584C"/>
    <w:rsid w:val="00B30803"/>
    <w:rsid w:val="00B31C19"/>
    <w:rsid w:val="00B335E4"/>
    <w:rsid w:val="00B34F46"/>
    <w:rsid w:val="00B36C5C"/>
    <w:rsid w:val="00B37478"/>
    <w:rsid w:val="00B428F2"/>
    <w:rsid w:val="00B435FB"/>
    <w:rsid w:val="00B44CEE"/>
    <w:rsid w:val="00B45E8F"/>
    <w:rsid w:val="00B46CB3"/>
    <w:rsid w:val="00B47D24"/>
    <w:rsid w:val="00B51453"/>
    <w:rsid w:val="00B51554"/>
    <w:rsid w:val="00B51739"/>
    <w:rsid w:val="00B53061"/>
    <w:rsid w:val="00B53E8C"/>
    <w:rsid w:val="00B55C18"/>
    <w:rsid w:val="00B56258"/>
    <w:rsid w:val="00B56B96"/>
    <w:rsid w:val="00B63AC6"/>
    <w:rsid w:val="00B64054"/>
    <w:rsid w:val="00B65A74"/>
    <w:rsid w:val="00B65DBF"/>
    <w:rsid w:val="00B70F8B"/>
    <w:rsid w:val="00B71578"/>
    <w:rsid w:val="00B720DF"/>
    <w:rsid w:val="00B735AD"/>
    <w:rsid w:val="00B7386A"/>
    <w:rsid w:val="00B74502"/>
    <w:rsid w:val="00B755FB"/>
    <w:rsid w:val="00B76EB7"/>
    <w:rsid w:val="00B771F9"/>
    <w:rsid w:val="00B80736"/>
    <w:rsid w:val="00B81902"/>
    <w:rsid w:val="00B92EB2"/>
    <w:rsid w:val="00B95856"/>
    <w:rsid w:val="00B97308"/>
    <w:rsid w:val="00BA268C"/>
    <w:rsid w:val="00BA3508"/>
    <w:rsid w:val="00BA4274"/>
    <w:rsid w:val="00BA4B7B"/>
    <w:rsid w:val="00BA56C2"/>
    <w:rsid w:val="00BB1214"/>
    <w:rsid w:val="00BB1CA6"/>
    <w:rsid w:val="00BB6342"/>
    <w:rsid w:val="00BB7FAA"/>
    <w:rsid w:val="00BC3874"/>
    <w:rsid w:val="00BC6B44"/>
    <w:rsid w:val="00BC6CD4"/>
    <w:rsid w:val="00BC7BC3"/>
    <w:rsid w:val="00BD0960"/>
    <w:rsid w:val="00BD3F6A"/>
    <w:rsid w:val="00BD4BED"/>
    <w:rsid w:val="00BD5610"/>
    <w:rsid w:val="00BD56DB"/>
    <w:rsid w:val="00BE40B8"/>
    <w:rsid w:val="00BE462E"/>
    <w:rsid w:val="00BE6BD7"/>
    <w:rsid w:val="00BF130A"/>
    <w:rsid w:val="00BF185F"/>
    <w:rsid w:val="00BF2C83"/>
    <w:rsid w:val="00BF40F9"/>
    <w:rsid w:val="00BF5FB2"/>
    <w:rsid w:val="00BF7E9A"/>
    <w:rsid w:val="00C00D7C"/>
    <w:rsid w:val="00C0231B"/>
    <w:rsid w:val="00C103D4"/>
    <w:rsid w:val="00C10771"/>
    <w:rsid w:val="00C1162E"/>
    <w:rsid w:val="00C13466"/>
    <w:rsid w:val="00C134F4"/>
    <w:rsid w:val="00C14370"/>
    <w:rsid w:val="00C148C0"/>
    <w:rsid w:val="00C14E6E"/>
    <w:rsid w:val="00C23B0F"/>
    <w:rsid w:val="00C2526E"/>
    <w:rsid w:val="00C261EA"/>
    <w:rsid w:val="00C3204F"/>
    <w:rsid w:val="00C3671A"/>
    <w:rsid w:val="00C36875"/>
    <w:rsid w:val="00C425B0"/>
    <w:rsid w:val="00C42F30"/>
    <w:rsid w:val="00C46925"/>
    <w:rsid w:val="00C46CD6"/>
    <w:rsid w:val="00C47829"/>
    <w:rsid w:val="00C54773"/>
    <w:rsid w:val="00C558CC"/>
    <w:rsid w:val="00C55FAC"/>
    <w:rsid w:val="00C56AA5"/>
    <w:rsid w:val="00C56C38"/>
    <w:rsid w:val="00C56CBF"/>
    <w:rsid w:val="00C6161E"/>
    <w:rsid w:val="00C63986"/>
    <w:rsid w:val="00C675E4"/>
    <w:rsid w:val="00C67D60"/>
    <w:rsid w:val="00C70515"/>
    <w:rsid w:val="00C804F7"/>
    <w:rsid w:val="00C82B0E"/>
    <w:rsid w:val="00C84D6D"/>
    <w:rsid w:val="00C85B97"/>
    <w:rsid w:val="00C85E5E"/>
    <w:rsid w:val="00C86F1B"/>
    <w:rsid w:val="00C9096D"/>
    <w:rsid w:val="00C91AEA"/>
    <w:rsid w:val="00C91BC1"/>
    <w:rsid w:val="00C923C7"/>
    <w:rsid w:val="00C93767"/>
    <w:rsid w:val="00C9537C"/>
    <w:rsid w:val="00C95930"/>
    <w:rsid w:val="00C96E7C"/>
    <w:rsid w:val="00C97D17"/>
    <w:rsid w:val="00CA00E8"/>
    <w:rsid w:val="00CA069C"/>
    <w:rsid w:val="00CA1917"/>
    <w:rsid w:val="00CA1A4C"/>
    <w:rsid w:val="00CA2A8C"/>
    <w:rsid w:val="00CA3A76"/>
    <w:rsid w:val="00CA56DB"/>
    <w:rsid w:val="00CA6997"/>
    <w:rsid w:val="00CB38D7"/>
    <w:rsid w:val="00CB6600"/>
    <w:rsid w:val="00CB7762"/>
    <w:rsid w:val="00CC01E7"/>
    <w:rsid w:val="00CC30E1"/>
    <w:rsid w:val="00CC423B"/>
    <w:rsid w:val="00CC56AF"/>
    <w:rsid w:val="00CC69EF"/>
    <w:rsid w:val="00CC7A1F"/>
    <w:rsid w:val="00CD225E"/>
    <w:rsid w:val="00CD264F"/>
    <w:rsid w:val="00CD3768"/>
    <w:rsid w:val="00CD5D9B"/>
    <w:rsid w:val="00CD756F"/>
    <w:rsid w:val="00CE08D4"/>
    <w:rsid w:val="00CE299E"/>
    <w:rsid w:val="00CE3B6F"/>
    <w:rsid w:val="00CE59D4"/>
    <w:rsid w:val="00CF494E"/>
    <w:rsid w:val="00D016D5"/>
    <w:rsid w:val="00D01C64"/>
    <w:rsid w:val="00D02743"/>
    <w:rsid w:val="00D0448D"/>
    <w:rsid w:val="00D10242"/>
    <w:rsid w:val="00D11C98"/>
    <w:rsid w:val="00D12F9C"/>
    <w:rsid w:val="00D13E9D"/>
    <w:rsid w:val="00D148F7"/>
    <w:rsid w:val="00D15FA8"/>
    <w:rsid w:val="00D17C6C"/>
    <w:rsid w:val="00D23F94"/>
    <w:rsid w:val="00D246AB"/>
    <w:rsid w:val="00D2481B"/>
    <w:rsid w:val="00D25ED9"/>
    <w:rsid w:val="00D275F2"/>
    <w:rsid w:val="00D30EAF"/>
    <w:rsid w:val="00D32B3A"/>
    <w:rsid w:val="00D32CD4"/>
    <w:rsid w:val="00D34759"/>
    <w:rsid w:val="00D41370"/>
    <w:rsid w:val="00D434B2"/>
    <w:rsid w:val="00D44626"/>
    <w:rsid w:val="00D505FA"/>
    <w:rsid w:val="00D508EE"/>
    <w:rsid w:val="00D50A14"/>
    <w:rsid w:val="00D5101F"/>
    <w:rsid w:val="00D5236E"/>
    <w:rsid w:val="00D532E1"/>
    <w:rsid w:val="00D55A52"/>
    <w:rsid w:val="00D5633E"/>
    <w:rsid w:val="00D617EB"/>
    <w:rsid w:val="00D622E0"/>
    <w:rsid w:val="00D64133"/>
    <w:rsid w:val="00D65F8D"/>
    <w:rsid w:val="00D71A37"/>
    <w:rsid w:val="00D72C08"/>
    <w:rsid w:val="00D7394A"/>
    <w:rsid w:val="00D75C93"/>
    <w:rsid w:val="00D7641E"/>
    <w:rsid w:val="00D816AA"/>
    <w:rsid w:val="00D83BDC"/>
    <w:rsid w:val="00D851A1"/>
    <w:rsid w:val="00D8597C"/>
    <w:rsid w:val="00D92EF6"/>
    <w:rsid w:val="00D96A6E"/>
    <w:rsid w:val="00DA3130"/>
    <w:rsid w:val="00DA5697"/>
    <w:rsid w:val="00DA58E4"/>
    <w:rsid w:val="00DB0E66"/>
    <w:rsid w:val="00DB2655"/>
    <w:rsid w:val="00DB2B03"/>
    <w:rsid w:val="00DB4426"/>
    <w:rsid w:val="00DB4F16"/>
    <w:rsid w:val="00DC0C90"/>
    <w:rsid w:val="00DC2653"/>
    <w:rsid w:val="00DC4C2A"/>
    <w:rsid w:val="00DC6996"/>
    <w:rsid w:val="00DC6C13"/>
    <w:rsid w:val="00DC7E9F"/>
    <w:rsid w:val="00DD0B99"/>
    <w:rsid w:val="00DD195C"/>
    <w:rsid w:val="00DD40E9"/>
    <w:rsid w:val="00DD426E"/>
    <w:rsid w:val="00DD600D"/>
    <w:rsid w:val="00DD6E72"/>
    <w:rsid w:val="00DD7797"/>
    <w:rsid w:val="00DE2FA0"/>
    <w:rsid w:val="00DE3A89"/>
    <w:rsid w:val="00DE6465"/>
    <w:rsid w:val="00DE6711"/>
    <w:rsid w:val="00DF3105"/>
    <w:rsid w:val="00DF3DE4"/>
    <w:rsid w:val="00DF3E87"/>
    <w:rsid w:val="00DF756F"/>
    <w:rsid w:val="00E0036C"/>
    <w:rsid w:val="00E00B2E"/>
    <w:rsid w:val="00E023DF"/>
    <w:rsid w:val="00E05508"/>
    <w:rsid w:val="00E0551F"/>
    <w:rsid w:val="00E05E14"/>
    <w:rsid w:val="00E1428C"/>
    <w:rsid w:val="00E1739C"/>
    <w:rsid w:val="00E24F24"/>
    <w:rsid w:val="00E32272"/>
    <w:rsid w:val="00E32B08"/>
    <w:rsid w:val="00E3344C"/>
    <w:rsid w:val="00E35707"/>
    <w:rsid w:val="00E35DD8"/>
    <w:rsid w:val="00E37623"/>
    <w:rsid w:val="00E422F7"/>
    <w:rsid w:val="00E433EB"/>
    <w:rsid w:val="00E477EF"/>
    <w:rsid w:val="00E5194C"/>
    <w:rsid w:val="00E51972"/>
    <w:rsid w:val="00E51C23"/>
    <w:rsid w:val="00E53B2B"/>
    <w:rsid w:val="00E5503F"/>
    <w:rsid w:val="00E55B5E"/>
    <w:rsid w:val="00E56B57"/>
    <w:rsid w:val="00E57385"/>
    <w:rsid w:val="00E60777"/>
    <w:rsid w:val="00E62DA0"/>
    <w:rsid w:val="00E64C0D"/>
    <w:rsid w:val="00E64C57"/>
    <w:rsid w:val="00E65016"/>
    <w:rsid w:val="00E6693D"/>
    <w:rsid w:val="00E66F14"/>
    <w:rsid w:val="00E7103C"/>
    <w:rsid w:val="00E72DEE"/>
    <w:rsid w:val="00E7349B"/>
    <w:rsid w:val="00E73AB1"/>
    <w:rsid w:val="00E73C3B"/>
    <w:rsid w:val="00E74758"/>
    <w:rsid w:val="00E74A45"/>
    <w:rsid w:val="00E74F32"/>
    <w:rsid w:val="00E82529"/>
    <w:rsid w:val="00E839E0"/>
    <w:rsid w:val="00E846EF"/>
    <w:rsid w:val="00E849D1"/>
    <w:rsid w:val="00E84B4C"/>
    <w:rsid w:val="00E85ADB"/>
    <w:rsid w:val="00E86621"/>
    <w:rsid w:val="00E93AC5"/>
    <w:rsid w:val="00E94579"/>
    <w:rsid w:val="00E9459D"/>
    <w:rsid w:val="00E97110"/>
    <w:rsid w:val="00E9798C"/>
    <w:rsid w:val="00EA0B57"/>
    <w:rsid w:val="00EA1035"/>
    <w:rsid w:val="00EA1F98"/>
    <w:rsid w:val="00EA260E"/>
    <w:rsid w:val="00EA37C1"/>
    <w:rsid w:val="00EA3C4B"/>
    <w:rsid w:val="00EA5D83"/>
    <w:rsid w:val="00EA76CF"/>
    <w:rsid w:val="00EB1DC5"/>
    <w:rsid w:val="00EB1F25"/>
    <w:rsid w:val="00EB340B"/>
    <w:rsid w:val="00EB41D1"/>
    <w:rsid w:val="00EB54DF"/>
    <w:rsid w:val="00EB5C12"/>
    <w:rsid w:val="00EB6592"/>
    <w:rsid w:val="00EC014B"/>
    <w:rsid w:val="00EC0EEB"/>
    <w:rsid w:val="00EC20A8"/>
    <w:rsid w:val="00EC4DA7"/>
    <w:rsid w:val="00EC4DAA"/>
    <w:rsid w:val="00EC5B1A"/>
    <w:rsid w:val="00EC6112"/>
    <w:rsid w:val="00EC7446"/>
    <w:rsid w:val="00ED1774"/>
    <w:rsid w:val="00ED2EED"/>
    <w:rsid w:val="00ED361D"/>
    <w:rsid w:val="00ED3967"/>
    <w:rsid w:val="00ED436B"/>
    <w:rsid w:val="00ED4D74"/>
    <w:rsid w:val="00ED51F7"/>
    <w:rsid w:val="00ED6978"/>
    <w:rsid w:val="00ED7A88"/>
    <w:rsid w:val="00EE0752"/>
    <w:rsid w:val="00EE0BE9"/>
    <w:rsid w:val="00EE2198"/>
    <w:rsid w:val="00EE3A0B"/>
    <w:rsid w:val="00EE5ADB"/>
    <w:rsid w:val="00EE627E"/>
    <w:rsid w:val="00EF0F24"/>
    <w:rsid w:val="00EF150B"/>
    <w:rsid w:val="00EF17C7"/>
    <w:rsid w:val="00EF2803"/>
    <w:rsid w:val="00EF32E8"/>
    <w:rsid w:val="00EF3978"/>
    <w:rsid w:val="00EF6658"/>
    <w:rsid w:val="00F012CC"/>
    <w:rsid w:val="00F01B5D"/>
    <w:rsid w:val="00F03F5A"/>
    <w:rsid w:val="00F11E42"/>
    <w:rsid w:val="00F12347"/>
    <w:rsid w:val="00F13525"/>
    <w:rsid w:val="00F14763"/>
    <w:rsid w:val="00F16830"/>
    <w:rsid w:val="00F209DC"/>
    <w:rsid w:val="00F22592"/>
    <w:rsid w:val="00F23ECA"/>
    <w:rsid w:val="00F24DD9"/>
    <w:rsid w:val="00F2528C"/>
    <w:rsid w:val="00F32735"/>
    <w:rsid w:val="00F32CDA"/>
    <w:rsid w:val="00F348A6"/>
    <w:rsid w:val="00F36F9F"/>
    <w:rsid w:val="00F424D0"/>
    <w:rsid w:val="00F42EEF"/>
    <w:rsid w:val="00F42EF2"/>
    <w:rsid w:val="00F433FF"/>
    <w:rsid w:val="00F4414C"/>
    <w:rsid w:val="00F442E0"/>
    <w:rsid w:val="00F44F9D"/>
    <w:rsid w:val="00F473B3"/>
    <w:rsid w:val="00F476C7"/>
    <w:rsid w:val="00F50AB2"/>
    <w:rsid w:val="00F51457"/>
    <w:rsid w:val="00F52884"/>
    <w:rsid w:val="00F54381"/>
    <w:rsid w:val="00F549CF"/>
    <w:rsid w:val="00F56D41"/>
    <w:rsid w:val="00F57D8B"/>
    <w:rsid w:val="00F602FC"/>
    <w:rsid w:val="00F60EAE"/>
    <w:rsid w:val="00F61E67"/>
    <w:rsid w:val="00F63670"/>
    <w:rsid w:val="00F65276"/>
    <w:rsid w:val="00F721D0"/>
    <w:rsid w:val="00F73F1B"/>
    <w:rsid w:val="00F742B5"/>
    <w:rsid w:val="00F776EA"/>
    <w:rsid w:val="00F80CE5"/>
    <w:rsid w:val="00F8253D"/>
    <w:rsid w:val="00F82C93"/>
    <w:rsid w:val="00F84A33"/>
    <w:rsid w:val="00F9388E"/>
    <w:rsid w:val="00F94A0B"/>
    <w:rsid w:val="00F95688"/>
    <w:rsid w:val="00F978EA"/>
    <w:rsid w:val="00FA2083"/>
    <w:rsid w:val="00FA22E2"/>
    <w:rsid w:val="00FA335C"/>
    <w:rsid w:val="00FA423C"/>
    <w:rsid w:val="00FA5344"/>
    <w:rsid w:val="00FA549B"/>
    <w:rsid w:val="00FB0268"/>
    <w:rsid w:val="00FB157B"/>
    <w:rsid w:val="00FB5B08"/>
    <w:rsid w:val="00FC3FDF"/>
    <w:rsid w:val="00FC413C"/>
    <w:rsid w:val="00FC4C5B"/>
    <w:rsid w:val="00FC5E5A"/>
    <w:rsid w:val="00FC64B2"/>
    <w:rsid w:val="00FC688A"/>
    <w:rsid w:val="00FC79ED"/>
    <w:rsid w:val="00FD0A4D"/>
    <w:rsid w:val="00FD2FA0"/>
    <w:rsid w:val="00FD551E"/>
    <w:rsid w:val="00FE1227"/>
    <w:rsid w:val="00FE21A8"/>
    <w:rsid w:val="00FE25CB"/>
    <w:rsid w:val="00FE4859"/>
    <w:rsid w:val="00FE4936"/>
    <w:rsid w:val="00FE5300"/>
    <w:rsid w:val="00FE6E46"/>
    <w:rsid w:val="00FE7FAD"/>
    <w:rsid w:val="00FF2592"/>
    <w:rsid w:val="00FF2F4D"/>
    <w:rsid w:val="00FF35AC"/>
    <w:rsid w:val="00FF3F0A"/>
    <w:rsid w:val="00FF7076"/>
    <w:rsid w:val="012873D3"/>
    <w:rsid w:val="01FF4424"/>
    <w:rsid w:val="02216D3A"/>
    <w:rsid w:val="024E68F9"/>
    <w:rsid w:val="02A46519"/>
    <w:rsid w:val="02F30FA1"/>
    <w:rsid w:val="02F63338"/>
    <w:rsid w:val="03053446"/>
    <w:rsid w:val="030D48BA"/>
    <w:rsid w:val="033864A3"/>
    <w:rsid w:val="03643BFA"/>
    <w:rsid w:val="03FD2B47"/>
    <w:rsid w:val="043F474B"/>
    <w:rsid w:val="04AB5652"/>
    <w:rsid w:val="04B34A97"/>
    <w:rsid w:val="04CA3A27"/>
    <w:rsid w:val="051E065A"/>
    <w:rsid w:val="051E730E"/>
    <w:rsid w:val="05976809"/>
    <w:rsid w:val="05E05C5A"/>
    <w:rsid w:val="060E3029"/>
    <w:rsid w:val="06F91383"/>
    <w:rsid w:val="073703E6"/>
    <w:rsid w:val="074129F6"/>
    <w:rsid w:val="077A5294"/>
    <w:rsid w:val="077C4770"/>
    <w:rsid w:val="07821620"/>
    <w:rsid w:val="07B863C6"/>
    <w:rsid w:val="07E973B8"/>
    <w:rsid w:val="07F27FE4"/>
    <w:rsid w:val="07FB5C8D"/>
    <w:rsid w:val="08730E67"/>
    <w:rsid w:val="089963F4"/>
    <w:rsid w:val="091E02D1"/>
    <w:rsid w:val="094D14FE"/>
    <w:rsid w:val="09594501"/>
    <w:rsid w:val="09694699"/>
    <w:rsid w:val="096E3BEA"/>
    <w:rsid w:val="09B04647"/>
    <w:rsid w:val="09E8138B"/>
    <w:rsid w:val="0A1A0F95"/>
    <w:rsid w:val="0A410AF1"/>
    <w:rsid w:val="0AA7304A"/>
    <w:rsid w:val="0AF535C5"/>
    <w:rsid w:val="0B5D0917"/>
    <w:rsid w:val="0BC3618B"/>
    <w:rsid w:val="0BEC7FAC"/>
    <w:rsid w:val="0CA24A88"/>
    <w:rsid w:val="0D3A0B07"/>
    <w:rsid w:val="0D57008A"/>
    <w:rsid w:val="0D7F205C"/>
    <w:rsid w:val="0DA56F93"/>
    <w:rsid w:val="0DC82ED4"/>
    <w:rsid w:val="0E2F3A82"/>
    <w:rsid w:val="0E3B46FF"/>
    <w:rsid w:val="0E7E1C83"/>
    <w:rsid w:val="0E96355F"/>
    <w:rsid w:val="0F1042CD"/>
    <w:rsid w:val="0F2B00EC"/>
    <w:rsid w:val="0F3A332A"/>
    <w:rsid w:val="0FB32491"/>
    <w:rsid w:val="1049527D"/>
    <w:rsid w:val="10DD2045"/>
    <w:rsid w:val="11013D8E"/>
    <w:rsid w:val="11D46C43"/>
    <w:rsid w:val="127401F4"/>
    <w:rsid w:val="12D71EF6"/>
    <w:rsid w:val="12F22C97"/>
    <w:rsid w:val="12F32609"/>
    <w:rsid w:val="12FA67BA"/>
    <w:rsid w:val="142011A6"/>
    <w:rsid w:val="14701BA3"/>
    <w:rsid w:val="148166BA"/>
    <w:rsid w:val="149A2129"/>
    <w:rsid w:val="151B6002"/>
    <w:rsid w:val="15541E70"/>
    <w:rsid w:val="15965C16"/>
    <w:rsid w:val="15A444A6"/>
    <w:rsid w:val="16277A0B"/>
    <w:rsid w:val="16852D6C"/>
    <w:rsid w:val="17042475"/>
    <w:rsid w:val="170B5850"/>
    <w:rsid w:val="17491AA3"/>
    <w:rsid w:val="17AC7ACF"/>
    <w:rsid w:val="17B24919"/>
    <w:rsid w:val="17B4163D"/>
    <w:rsid w:val="17F94FFE"/>
    <w:rsid w:val="18215140"/>
    <w:rsid w:val="18AF29F3"/>
    <w:rsid w:val="18CF3F42"/>
    <w:rsid w:val="18F03E0E"/>
    <w:rsid w:val="19096A08"/>
    <w:rsid w:val="191D1A5A"/>
    <w:rsid w:val="198C5139"/>
    <w:rsid w:val="19D16536"/>
    <w:rsid w:val="1A7C0A8D"/>
    <w:rsid w:val="1A9F5AEC"/>
    <w:rsid w:val="1AA306F8"/>
    <w:rsid w:val="1AA661CD"/>
    <w:rsid w:val="1B544BA9"/>
    <w:rsid w:val="1BBE008B"/>
    <w:rsid w:val="1C0B3DF2"/>
    <w:rsid w:val="1C986EAE"/>
    <w:rsid w:val="1CBE0E0D"/>
    <w:rsid w:val="1CDB58A1"/>
    <w:rsid w:val="1D872523"/>
    <w:rsid w:val="1E097B16"/>
    <w:rsid w:val="1EE417E6"/>
    <w:rsid w:val="1F5A427B"/>
    <w:rsid w:val="1F7D0870"/>
    <w:rsid w:val="200F5119"/>
    <w:rsid w:val="201725C8"/>
    <w:rsid w:val="20304682"/>
    <w:rsid w:val="205839ED"/>
    <w:rsid w:val="20EC5CBB"/>
    <w:rsid w:val="20EE6FC1"/>
    <w:rsid w:val="20FF72E4"/>
    <w:rsid w:val="210668C5"/>
    <w:rsid w:val="21606878"/>
    <w:rsid w:val="216F01B9"/>
    <w:rsid w:val="22027AEB"/>
    <w:rsid w:val="221723CD"/>
    <w:rsid w:val="22434229"/>
    <w:rsid w:val="225B170F"/>
    <w:rsid w:val="22695E7F"/>
    <w:rsid w:val="22D16568"/>
    <w:rsid w:val="238C7ABE"/>
    <w:rsid w:val="23A42D0F"/>
    <w:rsid w:val="23F5677C"/>
    <w:rsid w:val="24062928"/>
    <w:rsid w:val="242D5F16"/>
    <w:rsid w:val="24446463"/>
    <w:rsid w:val="24462A2D"/>
    <w:rsid w:val="244F2331"/>
    <w:rsid w:val="25761FE8"/>
    <w:rsid w:val="257E60C5"/>
    <w:rsid w:val="25A466AC"/>
    <w:rsid w:val="25E1520A"/>
    <w:rsid w:val="25E548F8"/>
    <w:rsid w:val="268D5392"/>
    <w:rsid w:val="26B36D0C"/>
    <w:rsid w:val="26C70FC3"/>
    <w:rsid w:val="272730F1"/>
    <w:rsid w:val="272F3A51"/>
    <w:rsid w:val="273E1601"/>
    <w:rsid w:val="279E1617"/>
    <w:rsid w:val="2826227E"/>
    <w:rsid w:val="2851287E"/>
    <w:rsid w:val="287B6634"/>
    <w:rsid w:val="28DA2521"/>
    <w:rsid w:val="28F71319"/>
    <w:rsid w:val="29362D86"/>
    <w:rsid w:val="298A0B02"/>
    <w:rsid w:val="2A4E3D69"/>
    <w:rsid w:val="2A613464"/>
    <w:rsid w:val="2AA43BDC"/>
    <w:rsid w:val="2AC776EE"/>
    <w:rsid w:val="2B5F21E3"/>
    <w:rsid w:val="2B673197"/>
    <w:rsid w:val="2B682035"/>
    <w:rsid w:val="2B6D072C"/>
    <w:rsid w:val="2BAE36BF"/>
    <w:rsid w:val="2BCB3F2A"/>
    <w:rsid w:val="2C102611"/>
    <w:rsid w:val="2C29369E"/>
    <w:rsid w:val="2CB429FC"/>
    <w:rsid w:val="2CD86E96"/>
    <w:rsid w:val="2CEC12AF"/>
    <w:rsid w:val="2D5876B0"/>
    <w:rsid w:val="2D9E5FEC"/>
    <w:rsid w:val="2DA54C95"/>
    <w:rsid w:val="2DC14C40"/>
    <w:rsid w:val="2E0106EE"/>
    <w:rsid w:val="2E255084"/>
    <w:rsid w:val="2E4A46A0"/>
    <w:rsid w:val="2E5A62D6"/>
    <w:rsid w:val="2EC13E2B"/>
    <w:rsid w:val="2EF72DA2"/>
    <w:rsid w:val="2F3515C3"/>
    <w:rsid w:val="2F444FB7"/>
    <w:rsid w:val="2F5C4B81"/>
    <w:rsid w:val="2F7F2A7C"/>
    <w:rsid w:val="2FF66AF0"/>
    <w:rsid w:val="30440F23"/>
    <w:rsid w:val="307A6B0F"/>
    <w:rsid w:val="309B2290"/>
    <w:rsid w:val="30B11C7D"/>
    <w:rsid w:val="30B8766B"/>
    <w:rsid w:val="317407C0"/>
    <w:rsid w:val="31AB7E01"/>
    <w:rsid w:val="31EF68A0"/>
    <w:rsid w:val="32360524"/>
    <w:rsid w:val="327B333F"/>
    <w:rsid w:val="32B3311C"/>
    <w:rsid w:val="33055822"/>
    <w:rsid w:val="33B83428"/>
    <w:rsid w:val="33DE722D"/>
    <w:rsid w:val="342F6C69"/>
    <w:rsid w:val="35A87AF3"/>
    <w:rsid w:val="360F096A"/>
    <w:rsid w:val="36650F9B"/>
    <w:rsid w:val="367714D5"/>
    <w:rsid w:val="36A112B4"/>
    <w:rsid w:val="36D0551D"/>
    <w:rsid w:val="370F7887"/>
    <w:rsid w:val="37C21D9F"/>
    <w:rsid w:val="387D5954"/>
    <w:rsid w:val="398B7F95"/>
    <w:rsid w:val="39CE38A0"/>
    <w:rsid w:val="39EC1F75"/>
    <w:rsid w:val="3A97759B"/>
    <w:rsid w:val="3A990BD3"/>
    <w:rsid w:val="3AAA6F52"/>
    <w:rsid w:val="3ABB6E42"/>
    <w:rsid w:val="3B4E457E"/>
    <w:rsid w:val="3BB367AF"/>
    <w:rsid w:val="3C024B7D"/>
    <w:rsid w:val="3C036C94"/>
    <w:rsid w:val="3C7F4EBC"/>
    <w:rsid w:val="3CDB07AE"/>
    <w:rsid w:val="3D4E6851"/>
    <w:rsid w:val="3E6A16C2"/>
    <w:rsid w:val="3E742C68"/>
    <w:rsid w:val="3F4C22CC"/>
    <w:rsid w:val="3F676452"/>
    <w:rsid w:val="3F722FD2"/>
    <w:rsid w:val="402320AF"/>
    <w:rsid w:val="40E00FF5"/>
    <w:rsid w:val="40E26775"/>
    <w:rsid w:val="40FF1D3F"/>
    <w:rsid w:val="413A6513"/>
    <w:rsid w:val="41655958"/>
    <w:rsid w:val="41CD6A92"/>
    <w:rsid w:val="42DE7C74"/>
    <w:rsid w:val="431351B4"/>
    <w:rsid w:val="435528D9"/>
    <w:rsid w:val="43CA2CF3"/>
    <w:rsid w:val="43F76E22"/>
    <w:rsid w:val="44085AAD"/>
    <w:rsid w:val="441962C2"/>
    <w:rsid w:val="4474179A"/>
    <w:rsid w:val="447E34CE"/>
    <w:rsid w:val="45C44973"/>
    <w:rsid w:val="45C86CE6"/>
    <w:rsid w:val="46947558"/>
    <w:rsid w:val="46CE0556"/>
    <w:rsid w:val="47220DE6"/>
    <w:rsid w:val="472964E3"/>
    <w:rsid w:val="481B23A6"/>
    <w:rsid w:val="48374FFD"/>
    <w:rsid w:val="487E1EBD"/>
    <w:rsid w:val="49331310"/>
    <w:rsid w:val="49376C21"/>
    <w:rsid w:val="49602681"/>
    <w:rsid w:val="496B110B"/>
    <w:rsid w:val="499B7670"/>
    <w:rsid w:val="4A3A5B69"/>
    <w:rsid w:val="4AFA3073"/>
    <w:rsid w:val="4BE66A88"/>
    <w:rsid w:val="4BF64008"/>
    <w:rsid w:val="4C46012D"/>
    <w:rsid w:val="4D0946BF"/>
    <w:rsid w:val="4D9C7AE5"/>
    <w:rsid w:val="4DBA6C70"/>
    <w:rsid w:val="4DF27B79"/>
    <w:rsid w:val="4E9D1D67"/>
    <w:rsid w:val="4EA76BC0"/>
    <w:rsid w:val="4EE942B4"/>
    <w:rsid w:val="4FBC536C"/>
    <w:rsid w:val="50881B51"/>
    <w:rsid w:val="50D94BAC"/>
    <w:rsid w:val="50EE1548"/>
    <w:rsid w:val="50F24694"/>
    <w:rsid w:val="51680891"/>
    <w:rsid w:val="51E657D3"/>
    <w:rsid w:val="522B0010"/>
    <w:rsid w:val="523C53F3"/>
    <w:rsid w:val="5261561F"/>
    <w:rsid w:val="528944A5"/>
    <w:rsid w:val="52B60E70"/>
    <w:rsid w:val="53395DD6"/>
    <w:rsid w:val="53430059"/>
    <w:rsid w:val="53BD310A"/>
    <w:rsid w:val="549C7D26"/>
    <w:rsid w:val="54FD71F3"/>
    <w:rsid w:val="55245CBF"/>
    <w:rsid w:val="554117B3"/>
    <w:rsid w:val="55430893"/>
    <w:rsid w:val="55F00D79"/>
    <w:rsid w:val="564035F9"/>
    <w:rsid w:val="56682C5A"/>
    <w:rsid w:val="567F493A"/>
    <w:rsid w:val="56FE2C18"/>
    <w:rsid w:val="572332FF"/>
    <w:rsid w:val="573D3418"/>
    <w:rsid w:val="57B95737"/>
    <w:rsid w:val="57FD3B20"/>
    <w:rsid w:val="58743911"/>
    <w:rsid w:val="58CB74D0"/>
    <w:rsid w:val="597C1F53"/>
    <w:rsid w:val="5A170196"/>
    <w:rsid w:val="5A884032"/>
    <w:rsid w:val="5A9A2835"/>
    <w:rsid w:val="5A9C5E01"/>
    <w:rsid w:val="5ABE4CD9"/>
    <w:rsid w:val="5AE704EB"/>
    <w:rsid w:val="5B1D2B82"/>
    <w:rsid w:val="5B3B189C"/>
    <w:rsid w:val="5B443073"/>
    <w:rsid w:val="5B914A01"/>
    <w:rsid w:val="5BEF76E9"/>
    <w:rsid w:val="5C0774F8"/>
    <w:rsid w:val="5C0B5B78"/>
    <w:rsid w:val="5C484DC8"/>
    <w:rsid w:val="5C4C4D97"/>
    <w:rsid w:val="5C8D1C50"/>
    <w:rsid w:val="5CC31209"/>
    <w:rsid w:val="5CC70097"/>
    <w:rsid w:val="5CE337FB"/>
    <w:rsid w:val="5E474816"/>
    <w:rsid w:val="5EFB1948"/>
    <w:rsid w:val="5F1662FE"/>
    <w:rsid w:val="5F965A98"/>
    <w:rsid w:val="5F9F1F82"/>
    <w:rsid w:val="5FA016B7"/>
    <w:rsid w:val="5FD63333"/>
    <w:rsid w:val="60464B44"/>
    <w:rsid w:val="60997E3E"/>
    <w:rsid w:val="6171498D"/>
    <w:rsid w:val="620B6F39"/>
    <w:rsid w:val="62255DD6"/>
    <w:rsid w:val="623C4F9B"/>
    <w:rsid w:val="6265008E"/>
    <w:rsid w:val="62E93375"/>
    <w:rsid w:val="63376556"/>
    <w:rsid w:val="63382699"/>
    <w:rsid w:val="634C5B54"/>
    <w:rsid w:val="63870498"/>
    <w:rsid w:val="64485E79"/>
    <w:rsid w:val="646E28D0"/>
    <w:rsid w:val="648F3A02"/>
    <w:rsid w:val="64B74DAD"/>
    <w:rsid w:val="64C554BE"/>
    <w:rsid w:val="64DB098F"/>
    <w:rsid w:val="6501360D"/>
    <w:rsid w:val="659906FE"/>
    <w:rsid w:val="65B6317D"/>
    <w:rsid w:val="65F804E8"/>
    <w:rsid w:val="662F72F1"/>
    <w:rsid w:val="6672542F"/>
    <w:rsid w:val="66AB22D9"/>
    <w:rsid w:val="66C022CE"/>
    <w:rsid w:val="66D41533"/>
    <w:rsid w:val="66D63C10"/>
    <w:rsid w:val="66F520BA"/>
    <w:rsid w:val="675A22F6"/>
    <w:rsid w:val="67C21C34"/>
    <w:rsid w:val="68226616"/>
    <w:rsid w:val="68B84DB4"/>
    <w:rsid w:val="69005E96"/>
    <w:rsid w:val="690E5E74"/>
    <w:rsid w:val="69895D50"/>
    <w:rsid w:val="69E623BC"/>
    <w:rsid w:val="6A366774"/>
    <w:rsid w:val="6A9E4A45"/>
    <w:rsid w:val="6AB31894"/>
    <w:rsid w:val="6AB53B3C"/>
    <w:rsid w:val="6AC67C25"/>
    <w:rsid w:val="6AFD34C8"/>
    <w:rsid w:val="6BCF6E80"/>
    <w:rsid w:val="6BFE44B9"/>
    <w:rsid w:val="6C0F10AF"/>
    <w:rsid w:val="6C264A83"/>
    <w:rsid w:val="6C6B4DFB"/>
    <w:rsid w:val="6C891725"/>
    <w:rsid w:val="6CDA7624"/>
    <w:rsid w:val="6CE81713"/>
    <w:rsid w:val="6CF05BCD"/>
    <w:rsid w:val="6D070BEB"/>
    <w:rsid w:val="6D0B6015"/>
    <w:rsid w:val="6D0E5D4B"/>
    <w:rsid w:val="6D785D6A"/>
    <w:rsid w:val="6D7B76B4"/>
    <w:rsid w:val="6DB932C1"/>
    <w:rsid w:val="6E1437DA"/>
    <w:rsid w:val="6E1F0847"/>
    <w:rsid w:val="6E3A43BC"/>
    <w:rsid w:val="6ED15F32"/>
    <w:rsid w:val="6EFA6FA6"/>
    <w:rsid w:val="6F7264A0"/>
    <w:rsid w:val="6F9432C5"/>
    <w:rsid w:val="6F9E1043"/>
    <w:rsid w:val="6FDB2297"/>
    <w:rsid w:val="70564A71"/>
    <w:rsid w:val="70690B13"/>
    <w:rsid w:val="7077329C"/>
    <w:rsid w:val="70B7060E"/>
    <w:rsid w:val="711C7D96"/>
    <w:rsid w:val="71334737"/>
    <w:rsid w:val="7134098B"/>
    <w:rsid w:val="713C0B14"/>
    <w:rsid w:val="71757ACE"/>
    <w:rsid w:val="71B66B18"/>
    <w:rsid w:val="71E116BB"/>
    <w:rsid w:val="722C52AF"/>
    <w:rsid w:val="72954F16"/>
    <w:rsid w:val="72D82ABE"/>
    <w:rsid w:val="72DF5BFA"/>
    <w:rsid w:val="73A07A74"/>
    <w:rsid w:val="73C86E78"/>
    <w:rsid w:val="740D6797"/>
    <w:rsid w:val="747D391D"/>
    <w:rsid w:val="748D4126"/>
    <w:rsid w:val="7491365A"/>
    <w:rsid w:val="749B5F32"/>
    <w:rsid w:val="74BB2AF8"/>
    <w:rsid w:val="74DD1DA7"/>
    <w:rsid w:val="74E10665"/>
    <w:rsid w:val="75A6555A"/>
    <w:rsid w:val="75AF3FAA"/>
    <w:rsid w:val="764F3DDB"/>
    <w:rsid w:val="76592969"/>
    <w:rsid w:val="769009FC"/>
    <w:rsid w:val="76BB770E"/>
    <w:rsid w:val="773109EF"/>
    <w:rsid w:val="77891CE0"/>
    <w:rsid w:val="77D658EA"/>
    <w:rsid w:val="787C3EEC"/>
    <w:rsid w:val="788D4480"/>
    <w:rsid w:val="78A32008"/>
    <w:rsid w:val="792206B8"/>
    <w:rsid w:val="79477F78"/>
    <w:rsid w:val="798E7787"/>
    <w:rsid w:val="79907C4E"/>
    <w:rsid w:val="79C8563A"/>
    <w:rsid w:val="79CE5EEC"/>
    <w:rsid w:val="7A0036A1"/>
    <w:rsid w:val="7A013891"/>
    <w:rsid w:val="7A16086D"/>
    <w:rsid w:val="7A771F62"/>
    <w:rsid w:val="7AD61D47"/>
    <w:rsid w:val="7B4A6DD9"/>
    <w:rsid w:val="7B81363F"/>
    <w:rsid w:val="7BC90E77"/>
    <w:rsid w:val="7BDB3A79"/>
    <w:rsid w:val="7C6D24C9"/>
    <w:rsid w:val="7D16490F"/>
    <w:rsid w:val="7D3A560F"/>
    <w:rsid w:val="7D657644"/>
    <w:rsid w:val="7DD74128"/>
    <w:rsid w:val="7E0A565C"/>
    <w:rsid w:val="7E1F194A"/>
    <w:rsid w:val="7E270AD6"/>
    <w:rsid w:val="7E2C1C8A"/>
    <w:rsid w:val="7E9A3559"/>
    <w:rsid w:val="7EC85B3A"/>
    <w:rsid w:val="7EC86917"/>
    <w:rsid w:val="7F0A3FFF"/>
    <w:rsid w:val="7FF76F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4">
    <w:name w:val="heading 2"/>
    <w:basedOn w:val="1"/>
    <w:next w:val="5"/>
    <w:link w:val="48"/>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63"/>
    <w:qFormat/>
    <w:uiPriority w:val="0"/>
    <w:pPr>
      <w:keepNext/>
      <w:keepLines/>
      <w:spacing w:before="260" w:after="260" w:line="416" w:lineRule="auto"/>
      <w:outlineLvl w:val="2"/>
    </w:pPr>
    <w:rPr>
      <w:b/>
      <w:bCs/>
      <w:sz w:val="32"/>
      <w:szCs w:val="32"/>
    </w:rPr>
  </w:style>
  <w:style w:type="paragraph" w:styleId="7">
    <w:name w:val="heading 4"/>
    <w:basedOn w:val="1"/>
    <w:next w:val="1"/>
    <w:link w:val="64"/>
    <w:qFormat/>
    <w:uiPriority w:val="0"/>
    <w:pPr>
      <w:keepNext/>
      <w:jc w:val="center"/>
      <w:outlineLvl w:val="3"/>
    </w:pPr>
    <w:rPr>
      <w:rFonts w:eastAsia="新宋体"/>
      <w:sz w:val="30"/>
      <w:szCs w:val="21"/>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kern w:val="0"/>
      <w:sz w:val="24"/>
      <w:szCs w:val="20"/>
    </w:rPr>
  </w:style>
  <w:style w:type="paragraph" w:styleId="5">
    <w:name w:val="Normal Indent"/>
    <w:basedOn w:val="1"/>
    <w:link w:val="54"/>
    <w:qFormat/>
    <w:uiPriority w:val="0"/>
    <w:pPr>
      <w:ind w:firstLine="420"/>
    </w:pPr>
    <w:rPr>
      <w:szCs w:val="20"/>
    </w:rPr>
  </w:style>
  <w:style w:type="paragraph" w:styleId="8">
    <w:name w:val="Note Heading"/>
    <w:basedOn w:val="1"/>
    <w:next w:val="1"/>
    <w:qFormat/>
    <w:uiPriority w:val="0"/>
    <w:rPr>
      <w:rFonts w:ascii="Verdana" w:hAnsi="Verdana"/>
      <w:szCs w:val="20"/>
    </w:rPr>
  </w:style>
  <w:style w:type="paragraph" w:styleId="9">
    <w:name w:val="Document Map"/>
    <w:basedOn w:val="1"/>
    <w:link w:val="45"/>
    <w:semiHidden/>
    <w:qFormat/>
    <w:uiPriority w:val="0"/>
    <w:pPr>
      <w:shd w:val="clear" w:color="auto" w:fill="000080"/>
    </w:pPr>
  </w:style>
  <w:style w:type="paragraph" w:styleId="10">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1">
    <w:name w:val="annotation text"/>
    <w:basedOn w:val="1"/>
    <w:unhideWhenUsed/>
    <w:qFormat/>
    <w:uiPriority w:val="99"/>
    <w:pPr>
      <w:jc w:val="left"/>
    </w:pPr>
  </w:style>
  <w:style w:type="paragraph" w:styleId="12">
    <w:name w:val="Body Text Indent"/>
    <w:basedOn w:val="1"/>
    <w:next w:val="13"/>
    <w:link w:val="62"/>
    <w:qFormat/>
    <w:uiPriority w:val="0"/>
    <w:pPr>
      <w:spacing w:after="120"/>
      <w:ind w:left="420" w:leftChars="200"/>
    </w:pPr>
  </w:style>
  <w:style w:type="paragraph" w:styleId="13">
    <w:name w:val="envelope return"/>
    <w:basedOn w:val="1"/>
    <w:unhideWhenUsed/>
    <w:qFormat/>
    <w:uiPriority w:val="99"/>
    <w:pPr>
      <w:snapToGrid w:val="0"/>
    </w:pPr>
    <w:rPr>
      <w:rFonts w:ascii="Arial" w:hAnsi="Arial"/>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Date"/>
    <w:basedOn w:val="1"/>
    <w:next w:val="1"/>
    <w:link w:val="65"/>
    <w:qFormat/>
    <w:uiPriority w:val="0"/>
    <w:pPr>
      <w:ind w:left="100" w:leftChars="2500"/>
    </w:pPr>
  </w:style>
  <w:style w:type="paragraph" w:styleId="16">
    <w:name w:val="Balloon Text"/>
    <w:basedOn w:val="1"/>
    <w:link w:val="42"/>
    <w:semiHidden/>
    <w:qFormat/>
    <w:uiPriority w:val="0"/>
    <w:rPr>
      <w:sz w:val="18"/>
      <w:szCs w:val="18"/>
    </w:rPr>
  </w:style>
  <w:style w:type="paragraph" w:styleId="17">
    <w:name w:val="footer"/>
    <w:basedOn w:val="1"/>
    <w:link w:val="52"/>
    <w:qFormat/>
    <w:uiPriority w:val="99"/>
    <w:pPr>
      <w:tabs>
        <w:tab w:val="center" w:pos="4153"/>
        <w:tab w:val="right" w:pos="8306"/>
      </w:tabs>
      <w:snapToGrid w:val="0"/>
      <w:jc w:val="left"/>
    </w:pPr>
    <w:rPr>
      <w:sz w:val="18"/>
      <w:szCs w:val="18"/>
    </w:rPr>
  </w:style>
  <w:style w:type="paragraph" w:styleId="18">
    <w:name w:val="header"/>
    <w:basedOn w:val="1"/>
    <w:link w:val="59"/>
    <w:qFormat/>
    <w:uiPriority w:val="0"/>
    <w:pPr>
      <w:pBdr>
        <w:bottom w:val="single" w:color="auto" w:sz="6" w:space="1"/>
      </w:pBdr>
      <w:tabs>
        <w:tab w:val="center" w:pos="4153"/>
        <w:tab w:val="right" w:pos="8306"/>
      </w:tabs>
      <w:snapToGrid w:val="0"/>
      <w:jc w:val="center"/>
    </w:pPr>
    <w:rPr>
      <w:sz w:val="18"/>
      <w:szCs w:val="18"/>
    </w:rPr>
  </w:style>
  <w:style w:type="paragraph" w:styleId="19">
    <w:name w:val="Body Text Indent 3"/>
    <w:basedOn w:val="1"/>
    <w:next w:val="10"/>
    <w:link w:val="46"/>
    <w:qFormat/>
    <w:uiPriority w:val="0"/>
    <w:pPr>
      <w:spacing w:line="520" w:lineRule="exact"/>
      <w:ind w:firstLine="539" w:firstLineChars="184"/>
    </w:pPr>
    <w:rPr>
      <w:rFonts w:ascii="宋体"/>
      <w:b/>
      <w:spacing w:val="6"/>
      <w:sz w:val="28"/>
    </w:rPr>
  </w:style>
  <w:style w:type="paragraph" w:styleId="2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qFormat/>
    <w:uiPriority w:val="0"/>
    <w:pPr>
      <w:spacing w:before="240" w:after="60"/>
      <w:jc w:val="center"/>
      <w:outlineLvl w:val="0"/>
    </w:pPr>
    <w:rPr>
      <w:rFonts w:ascii="Calibri Light" w:hAnsi="Calibri Light"/>
      <w:b/>
      <w:bCs/>
      <w:kern w:val="0"/>
      <w:sz w:val="32"/>
      <w:szCs w:val="32"/>
    </w:rPr>
  </w:style>
  <w:style w:type="paragraph" w:styleId="22">
    <w:name w:val="Body Text First Indent"/>
    <w:basedOn w:val="2"/>
    <w:next w:val="23"/>
    <w:qFormat/>
    <w:uiPriority w:val="0"/>
    <w:pPr>
      <w:spacing w:after="120"/>
      <w:ind w:firstLine="420" w:firstLineChars="100"/>
    </w:pPr>
    <w:rPr>
      <w:rFonts w:ascii="Times New Roman" w:eastAsia="宋体"/>
      <w:szCs w:val="24"/>
    </w:rPr>
  </w:style>
  <w:style w:type="paragraph" w:styleId="23">
    <w:name w:val="Body Text First Indent 2"/>
    <w:basedOn w:val="12"/>
    <w:next w:val="1"/>
    <w:unhideWhenUsed/>
    <w:qFormat/>
    <w:uiPriority w:val="99"/>
    <w:pPr>
      <w:ind w:firstLine="20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22"/>
    <w:rPr>
      <w:b/>
      <w:bCs/>
    </w:rPr>
  </w:style>
  <w:style w:type="character" w:styleId="28">
    <w:name w:val="page number"/>
    <w:qFormat/>
    <w:uiPriority w:val="0"/>
  </w:style>
  <w:style w:type="character" w:styleId="29">
    <w:name w:val="Emphasis"/>
    <w:qFormat/>
    <w:uiPriority w:val="0"/>
    <w:rPr>
      <w:b/>
      <w:bCs/>
    </w:rPr>
  </w:style>
  <w:style w:type="character" w:styleId="30">
    <w:name w:val="HTML Definition"/>
    <w:unhideWhenUsed/>
    <w:qFormat/>
    <w:uiPriority w:val="99"/>
  </w:style>
  <w:style w:type="character" w:styleId="31">
    <w:name w:val="HTML Typewriter"/>
    <w:unhideWhenUsed/>
    <w:qFormat/>
    <w:uiPriority w:val="99"/>
    <w:rPr>
      <w:rFonts w:hint="default" w:ascii="monospace" w:hAnsi="monospace" w:eastAsia="monospace" w:cs="monospace"/>
      <w:sz w:val="20"/>
    </w:rPr>
  </w:style>
  <w:style w:type="character" w:styleId="32">
    <w:name w:val="HTML Acronym"/>
    <w:unhideWhenUsed/>
    <w:qFormat/>
    <w:uiPriority w:val="99"/>
  </w:style>
  <w:style w:type="character" w:styleId="33">
    <w:name w:val="HTML Variable"/>
    <w:unhideWhenUsed/>
    <w:qFormat/>
    <w:uiPriority w:val="99"/>
  </w:style>
  <w:style w:type="character" w:styleId="34">
    <w:name w:val="Hyperlink"/>
    <w:unhideWhenUsed/>
    <w:qFormat/>
    <w:uiPriority w:val="99"/>
    <w:rPr>
      <w:color w:val="0000FF"/>
      <w:u w:val="none"/>
    </w:rPr>
  </w:style>
  <w:style w:type="character" w:styleId="35">
    <w:name w:val="HTML Code"/>
    <w:unhideWhenUsed/>
    <w:qFormat/>
    <w:uiPriority w:val="99"/>
    <w:rPr>
      <w:rFonts w:hint="default" w:ascii="monospace" w:hAnsi="monospace" w:eastAsia="monospace" w:cs="monospace"/>
      <w:sz w:val="20"/>
    </w:rPr>
  </w:style>
  <w:style w:type="character" w:styleId="36">
    <w:name w:val="HTML Cite"/>
    <w:unhideWhenUsed/>
    <w:qFormat/>
    <w:uiPriority w:val="99"/>
  </w:style>
  <w:style w:type="character" w:styleId="37">
    <w:name w:val="HTML Keyboard"/>
    <w:unhideWhenUsed/>
    <w:qFormat/>
    <w:uiPriority w:val="99"/>
    <w:rPr>
      <w:rFonts w:ascii="monospace" w:hAnsi="monospace" w:eastAsia="monospace" w:cs="monospace"/>
      <w:sz w:val="20"/>
    </w:rPr>
  </w:style>
  <w:style w:type="character" w:styleId="38">
    <w:name w:val="HTML Sample"/>
    <w:unhideWhenUsed/>
    <w:qFormat/>
    <w:uiPriority w:val="99"/>
    <w:rPr>
      <w:rFonts w:hint="default" w:ascii="monospace" w:hAnsi="monospace" w:eastAsia="monospace" w:cs="monospace"/>
    </w:rPr>
  </w:style>
  <w:style w:type="paragraph" w:customStyle="1" w:styleId="39">
    <w:name w:val="Default"/>
    <w:basedOn w:val="1"/>
    <w:qFormat/>
    <w:uiPriority w:val="0"/>
    <w:pPr>
      <w:autoSpaceDE w:val="0"/>
      <w:autoSpaceDN w:val="0"/>
      <w:adjustRightInd w:val="0"/>
      <w:jc w:val="left"/>
    </w:pPr>
    <w:rPr>
      <w:rFonts w:ascii="Arial" w:hAnsi="Arial" w:eastAsia="PMingLiU"/>
      <w:kern w:val="0"/>
      <w:sz w:val="20"/>
      <w:szCs w:val="20"/>
    </w:rPr>
  </w:style>
  <w:style w:type="paragraph" w:customStyle="1" w:styleId="40">
    <w:name w:val="style4"/>
    <w:basedOn w:val="1"/>
    <w:next w:val="41"/>
    <w:qFormat/>
    <w:uiPriority w:val="0"/>
    <w:pPr>
      <w:widowControl/>
      <w:spacing w:before="280" w:after="280"/>
    </w:pPr>
    <w:rPr>
      <w:rFonts w:ascii="宋体"/>
      <w:sz w:val="18"/>
    </w:rPr>
  </w:style>
  <w:style w:type="paragraph" w:customStyle="1" w:styleId="41">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42">
    <w:name w:val="批注框文本 Char"/>
    <w:link w:val="16"/>
    <w:semiHidden/>
    <w:qFormat/>
    <w:uiPriority w:val="0"/>
    <w:rPr>
      <w:kern w:val="2"/>
      <w:sz w:val="18"/>
      <w:szCs w:val="18"/>
    </w:rPr>
  </w:style>
  <w:style w:type="character" w:customStyle="1" w:styleId="43">
    <w:name w:val="正文缩进2格 Char"/>
    <w:link w:val="44"/>
    <w:qFormat/>
    <w:locked/>
    <w:uiPriority w:val="0"/>
    <w:rPr>
      <w:rFonts w:ascii="仿宋_GB2312" w:hAnsi="宋体" w:eastAsia="仿宋_GB2312"/>
      <w:kern w:val="2"/>
      <w:sz w:val="31"/>
      <w:szCs w:val="28"/>
    </w:rPr>
  </w:style>
  <w:style w:type="paragraph" w:customStyle="1" w:styleId="44">
    <w:name w:val="正文缩进2格"/>
    <w:basedOn w:val="1"/>
    <w:link w:val="43"/>
    <w:qFormat/>
    <w:uiPriority w:val="0"/>
    <w:pPr>
      <w:spacing w:line="600" w:lineRule="exact"/>
      <w:ind w:firstLine="639" w:firstLineChars="206"/>
    </w:pPr>
    <w:rPr>
      <w:rFonts w:ascii="仿宋_GB2312" w:hAnsi="宋体" w:eastAsia="仿宋_GB2312"/>
      <w:sz w:val="31"/>
      <w:szCs w:val="28"/>
    </w:rPr>
  </w:style>
  <w:style w:type="character" w:customStyle="1" w:styleId="45">
    <w:name w:val="文档结构图 Char"/>
    <w:link w:val="9"/>
    <w:semiHidden/>
    <w:qFormat/>
    <w:uiPriority w:val="0"/>
    <w:rPr>
      <w:kern w:val="2"/>
      <w:sz w:val="21"/>
      <w:szCs w:val="24"/>
      <w:shd w:val="clear" w:color="auto" w:fill="000080"/>
    </w:rPr>
  </w:style>
  <w:style w:type="character" w:customStyle="1" w:styleId="46">
    <w:name w:val="正文文本缩进 3 Char"/>
    <w:link w:val="19"/>
    <w:qFormat/>
    <w:uiPriority w:val="0"/>
    <w:rPr>
      <w:rFonts w:ascii="宋体"/>
      <w:b/>
      <w:spacing w:val="6"/>
      <w:kern w:val="2"/>
      <w:sz w:val="28"/>
      <w:szCs w:val="24"/>
    </w:rPr>
  </w:style>
  <w:style w:type="character" w:customStyle="1" w:styleId="47">
    <w:name w:val="font51"/>
    <w:qFormat/>
    <w:uiPriority w:val="0"/>
    <w:rPr>
      <w:rFonts w:hint="default" w:ascii="等线" w:hAnsi="等线" w:eastAsia="等线" w:cs="等线"/>
      <w:b/>
      <w:bCs/>
      <w:color w:val="000000"/>
      <w:sz w:val="22"/>
      <w:szCs w:val="22"/>
      <w:u w:val="none"/>
    </w:rPr>
  </w:style>
  <w:style w:type="character" w:customStyle="1" w:styleId="48">
    <w:name w:val="标题 2 Char"/>
    <w:link w:val="4"/>
    <w:qFormat/>
    <w:uiPriority w:val="0"/>
    <w:rPr>
      <w:rFonts w:ascii="Arial" w:hAnsi="Arial" w:eastAsia="黑体"/>
      <w:b/>
      <w:bCs/>
      <w:kern w:val="2"/>
      <w:sz w:val="32"/>
      <w:szCs w:val="32"/>
    </w:rPr>
  </w:style>
  <w:style w:type="character" w:customStyle="1" w:styleId="49">
    <w:name w:val="标题 1 Char"/>
    <w:link w:val="3"/>
    <w:qFormat/>
    <w:uiPriority w:val="0"/>
    <w:rPr>
      <w:b/>
      <w:bCs/>
      <w:kern w:val="44"/>
      <w:sz w:val="44"/>
      <w:szCs w:val="44"/>
    </w:rPr>
  </w:style>
  <w:style w:type="character" w:customStyle="1" w:styleId="50">
    <w:name w:val="标题 3.1 Char"/>
    <w:link w:val="51"/>
    <w:qFormat/>
    <w:locked/>
    <w:uiPriority w:val="0"/>
    <w:rPr>
      <w:rFonts w:ascii="宋体" w:hAnsi="宋体"/>
      <w:b/>
      <w:bCs/>
      <w:color w:val="000000"/>
      <w:kern w:val="2"/>
      <w:sz w:val="32"/>
      <w:szCs w:val="32"/>
    </w:rPr>
  </w:style>
  <w:style w:type="paragraph" w:customStyle="1" w:styleId="51">
    <w:name w:val="标题 3.1"/>
    <w:basedOn w:val="6"/>
    <w:link w:val="50"/>
    <w:qFormat/>
    <w:uiPriority w:val="0"/>
    <w:pPr>
      <w:tabs>
        <w:tab w:val="left" w:pos="1440"/>
        <w:tab w:val="left" w:pos="1620"/>
      </w:tabs>
      <w:spacing w:line="600" w:lineRule="exact"/>
    </w:pPr>
    <w:rPr>
      <w:rFonts w:ascii="宋体" w:hAnsi="宋体"/>
      <w:color w:val="000000"/>
    </w:rPr>
  </w:style>
  <w:style w:type="character" w:customStyle="1" w:styleId="52">
    <w:name w:val="页脚 Char"/>
    <w:link w:val="17"/>
    <w:qFormat/>
    <w:uiPriority w:val="99"/>
    <w:rPr>
      <w:kern w:val="2"/>
      <w:sz w:val="18"/>
      <w:szCs w:val="18"/>
    </w:rPr>
  </w:style>
  <w:style w:type="character" w:customStyle="1" w:styleId="53">
    <w:name w:val="font31"/>
    <w:qFormat/>
    <w:uiPriority w:val="0"/>
    <w:rPr>
      <w:rFonts w:hint="eastAsia" w:ascii="宋体" w:hAnsi="宋体" w:eastAsia="宋体" w:cs="宋体"/>
      <w:color w:val="000000"/>
      <w:sz w:val="21"/>
      <w:szCs w:val="21"/>
      <w:u w:val="none"/>
    </w:rPr>
  </w:style>
  <w:style w:type="character" w:customStyle="1" w:styleId="54">
    <w:name w:val="正文缩进 Char"/>
    <w:link w:val="5"/>
    <w:qFormat/>
    <w:uiPriority w:val="0"/>
    <w:rPr>
      <w:kern w:val="2"/>
      <w:sz w:val="21"/>
    </w:rPr>
  </w:style>
  <w:style w:type="character" w:customStyle="1" w:styleId="55">
    <w:name w:val="访问过的超链接1"/>
    <w:unhideWhenUsed/>
    <w:qFormat/>
    <w:uiPriority w:val="99"/>
    <w:rPr>
      <w:color w:val="800080"/>
      <w:u w:val="none"/>
    </w:rPr>
  </w:style>
  <w:style w:type="character" w:customStyle="1" w:styleId="56">
    <w:name w:val="普通正文 Char"/>
    <w:link w:val="57"/>
    <w:qFormat/>
    <w:uiPriority w:val="0"/>
    <w:rPr>
      <w:rFonts w:ascii="Arial" w:hAnsi="Arial"/>
      <w:sz w:val="24"/>
      <w:szCs w:val="24"/>
    </w:rPr>
  </w:style>
  <w:style w:type="paragraph" w:customStyle="1" w:styleId="57">
    <w:name w:val="普通正文"/>
    <w:basedOn w:val="1"/>
    <w:link w:val="56"/>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58">
    <w:name w:val="mini-outputtext1"/>
    <w:qFormat/>
    <w:uiPriority w:val="0"/>
  </w:style>
  <w:style w:type="character" w:customStyle="1" w:styleId="59">
    <w:name w:val="页眉 Char"/>
    <w:link w:val="18"/>
    <w:qFormat/>
    <w:uiPriority w:val="0"/>
    <w:rPr>
      <w:kern w:val="2"/>
      <w:sz w:val="18"/>
      <w:szCs w:val="18"/>
    </w:rPr>
  </w:style>
  <w:style w:type="character" w:customStyle="1" w:styleId="60">
    <w:name w:val="font01"/>
    <w:qFormat/>
    <w:uiPriority w:val="0"/>
    <w:rPr>
      <w:rFonts w:hint="default" w:ascii="等线" w:hAnsi="等线" w:eastAsia="等线" w:cs="等线"/>
      <w:color w:val="000000"/>
      <w:sz w:val="22"/>
      <w:szCs w:val="22"/>
      <w:u w:val="none"/>
    </w:rPr>
  </w:style>
  <w:style w:type="character" w:customStyle="1" w:styleId="61">
    <w:name w:val="font61"/>
    <w:qFormat/>
    <w:uiPriority w:val="0"/>
    <w:rPr>
      <w:rFonts w:hint="default" w:ascii="Times New Roman" w:hAnsi="Times New Roman" w:cs="Times New Roman"/>
      <w:color w:val="000000"/>
      <w:sz w:val="21"/>
      <w:szCs w:val="21"/>
      <w:u w:val="none"/>
    </w:rPr>
  </w:style>
  <w:style w:type="character" w:customStyle="1" w:styleId="62">
    <w:name w:val="正文文本缩进 Char"/>
    <w:link w:val="12"/>
    <w:qFormat/>
    <w:uiPriority w:val="0"/>
    <w:rPr>
      <w:kern w:val="2"/>
      <w:sz w:val="21"/>
      <w:szCs w:val="24"/>
    </w:rPr>
  </w:style>
  <w:style w:type="character" w:customStyle="1" w:styleId="63">
    <w:name w:val="标题 3 Char"/>
    <w:link w:val="6"/>
    <w:qFormat/>
    <w:uiPriority w:val="0"/>
    <w:rPr>
      <w:b/>
      <w:bCs/>
      <w:kern w:val="2"/>
      <w:sz w:val="32"/>
      <w:szCs w:val="32"/>
    </w:rPr>
  </w:style>
  <w:style w:type="character" w:customStyle="1" w:styleId="64">
    <w:name w:val="标题 4 Char"/>
    <w:link w:val="7"/>
    <w:qFormat/>
    <w:uiPriority w:val="0"/>
    <w:rPr>
      <w:rFonts w:eastAsia="新宋体"/>
      <w:kern w:val="2"/>
      <w:sz w:val="30"/>
      <w:szCs w:val="21"/>
    </w:rPr>
  </w:style>
  <w:style w:type="character" w:customStyle="1" w:styleId="65">
    <w:name w:val="日期 Char"/>
    <w:link w:val="15"/>
    <w:qFormat/>
    <w:uiPriority w:val="0"/>
    <w:rPr>
      <w:kern w:val="2"/>
      <w:sz w:val="21"/>
      <w:szCs w:val="24"/>
    </w:rPr>
  </w:style>
  <w:style w:type="character" w:customStyle="1" w:styleId="66">
    <w:name w:val="font71"/>
    <w:qFormat/>
    <w:uiPriority w:val="0"/>
    <w:rPr>
      <w:rFonts w:hint="default" w:ascii="Calibri" w:hAnsi="Calibri" w:cs="Calibri"/>
      <w:color w:val="000000"/>
      <w:sz w:val="22"/>
      <w:szCs w:val="22"/>
      <w:u w:val="none"/>
    </w:rPr>
  </w:style>
  <w:style w:type="paragraph" w:customStyle="1" w:styleId="67">
    <w:name w:val="Char"/>
    <w:basedOn w:val="1"/>
    <w:qFormat/>
    <w:uiPriority w:val="0"/>
    <w:rPr>
      <w:rFonts w:ascii="Tahoma" w:hAnsi="Tahoma"/>
      <w:sz w:val="24"/>
      <w:szCs w:val="20"/>
    </w:rPr>
  </w:style>
  <w:style w:type="paragraph" w:customStyle="1" w:styleId="6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正文_2"/>
    <w:next w:val="7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文本首行缩进1"/>
    <w:basedOn w:val="2"/>
    <w:qFormat/>
    <w:uiPriority w:val="0"/>
    <w:pPr>
      <w:spacing w:after="120"/>
      <w:ind w:firstLine="420" w:firstLineChars="100"/>
    </w:pPr>
    <w:rPr>
      <w:rFonts w:ascii="Times New Roman" w:eastAsia="宋体"/>
      <w:szCs w:val="24"/>
    </w:rPr>
  </w:style>
  <w:style w:type="paragraph" w:customStyle="1" w:styleId="72">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73">
    <w:name w:val="列出段落2"/>
    <w:basedOn w:val="1"/>
    <w:qFormat/>
    <w:uiPriority w:val="0"/>
    <w:pPr>
      <w:ind w:firstLine="420" w:firstLineChars="200"/>
    </w:pPr>
  </w:style>
  <w:style w:type="paragraph" w:customStyle="1" w:styleId="74">
    <w:name w:val="正文首行缩进 21"/>
    <w:basedOn w:val="12"/>
    <w:unhideWhenUsed/>
    <w:qFormat/>
    <w:uiPriority w:val="99"/>
    <w:pPr>
      <w:ind w:firstLine="200" w:firstLineChars="200"/>
    </w:pPr>
  </w:style>
  <w:style w:type="paragraph" w:customStyle="1" w:styleId="75">
    <w:name w:val="正文缩进1"/>
    <w:basedOn w:val="1"/>
    <w:qFormat/>
    <w:uiPriority w:val="0"/>
    <w:pPr>
      <w:widowControl/>
      <w:ind w:firstLine="420"/>
      <w:jc w:val="left"/>
    </w:pPr>
    <w:rPr>
      <w:kern w:val="0"/>
    </w:rPr>
  </w:style>
  <w:style w:type="paragraph" w:customStyle="1" w:styleId="76">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77">
    <w:name w:val="Char1"/>
    <w:basedOn w:val="1"/>
    <w:qFormat/>
    <w:uiPriority w:val="0"/>
    <w:pPr>
      <w:tabs>
        <w:tab w:val="left" w:pos="840"/>
      </w:tabs>
      <w:ind w:left="840" w:hanging="420"/>
    </w:pPr>
    <w:rPr>
      <w:sz w:val="24"/>
    </w:rPr>
  </w:style>
  <w:style w:type="paragraph" w:customStyle="1" w:styleId="78">
    <w:name w:val="Char2"/>
    <w:basedOn w:val="1"/>
    <w:qFormat/>
    <w:uiPriority w:val="0"/>
    <w:rPr>
      <w:rFonts w:ascii="Tahoma" w:hAnsi="Tahoma"/>
      <w:sz w:val="24"/>
      <w:szCs w:val="20"/>
    </w:rPr>
  </w:style>
  <w:style w:type="paragraph" w:customStyle="1" w:styleId="79">
    <w:name w:val="列出段落1"/>
    <w:basedOn w:val="1"/>
    <w:qFormat/>
    <w:uiPriority w:val="0"/>
    <w:pPr>
      <w:ind w:firstLine="200" w:firstLineChars="200"/>
    </w:pPr>
  </w:style>
  <w:style w:type="paragraph" w:customStyle="1" w:styleId="80">
    <w:name w:val="正文缩进4格"/>
    <w:basedOn w:val="44"/>
    <w:qFormat/>
    <w:uiPriority w:val="0"/>
    <w:pPr>
      <w:ind w:left="2" w:firstLine="538" w:firstLineChars="192"/>
    </w:pPr>
    <w:rPr>
      <w:color w:val="000000"/>
      <w:sz w:val="28"/>
    </w:rPr>
  </w:style>
  <w:style w:type="paragraph" w:customStyle="1" w:styleId="81">
    <w:name w:val="TOC 11"/>
    <w:basedOn w:val="1"/>
    <w:next w:val="1"/>
    <w:qFormat/>
    <w:uiPriority w:val="39"/>
    <w:pPr>
      <w:tabs>
        <w:tab w:val="left" w:pos="840"/>
        <w:tab w:val="right" w:leader="dot" w:pos="9402"/>
      </w:tabs>
      <w:adjustRightInd w:val="0"/>
      <w:snapToGrid w:val="0"/>
      <w:spacing w:line="360" w:lineRule="auto"/>
      <w:jc w:val="left"/>
    </w:pPr>
    <w:rPr>
      <w:rFonts w:ascii="Arial" w:hAnsi="宋体"/>
      <w:caps/>
      <w:w w:val="80"/>
      <w:sz w:val="24"/>
    </w:rPr>
  </w:style>
  <w:style w:type="paragraph" w:customStyle="1" w:styleId="82">
    <w:name w:val="正文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3">
    <w:name w:val="正文文本首行缩进 21"/>
    <w:basedOn w:val="12"/>
    <w:next w:val="1"/>
    <w:unhideWhenUsed/>
    <w:qFormat/>
    <w:uiPriority w:val="99"/>
    <w:pPr>
      <w:ind w:firstLine="200" w:firstLineChars="200"/>
    </w:pPr>
  </w:style>
  <w:style w:type="paragraph" w:customStyle="1" w:styleId="84">
    <w:name w:val="普通(网站) Char"/>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85">
    <w:name w:val="Char Char 字元 字元 字元 Char Char Char Char"/>
    <w:basedOn w:val="1"/>
    <w:qFormat/>
    <w:uiPriority w:val="0"/>
    <w:pPr>
      <w:adjustRightInd w:val="0"/>
      <w:spacing w:line="360" w:lineRule="auto"/>
    </w:pPr>
    <w:rPr>
      <w:kern w:val="0"/>
      <w:sz w:val="24"/>
      <w:szCs w:val="20"/>
    </w:rPr>
  </w:style>
  <w:style w:type="paragraph" w:customStyle="1" w:styleId="86">
    <w:name w:val="Char Char Char Char"/>
    <w:basedOn w:val="1"/>
    <w:qFormat/>
    <w:uiPriority w:val="0"/>
    <w:rPr>
      <w:rFonts w:ascii="Tahoma" w:hAnsi="Tahoma"/>
      <w:sz w:val="24"/>
      <w:szCs w:val="20"/>
    </w:rPr>
  </w:style>
  <w:style w:type="paragraph" w:customStyle="1" w:styleId="87">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9">
    <w:name w:val="Body Text_0"/>
    <w:basedOn w:val="1"/>
    <w:qFormat/>
    <w:uiPriority w:val="0"/>
    <w:pPr>
      <w:autoSpaceDE w:val="0"/>
      <w:autoSpaceDN w:val="0"/>
      <w:jc w:val="left"/>
    </w:pPr>
    <w:rPr>
      <w:rFonts w:ascii="宋体" w:hAnsi="宋体" w:eastAsia="Times New Roman" w:cs="宋体"/>
      <w:kern w:val="0"/>
      <w:sz w:val="24"/>
    </w:rPr>
  </w:style>
  <w:style w:type="paragraph" w:customStyle="1" w:styleId="90">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91">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92">
    <w:name w:val="List Paragraph"/>
    <w:basedOn w:val="1"/>
    <w:unhideWhenUsed/>
    <w:qFormat/>
    <w:uiPriority w:val="99"/>
    <w:pPr>
      <w:ind w:firstLine="420" w:firstLineChars="200"/>
    </w:pPr>
  </w:style>
  <w:style w:type="character" w:customStyle="1" w:styleId="93">
    <w:name w:val="sh3 Char"/>
    <w:link w:val="94"/>
    <w:qFormat/>
    <w:uiPriority w:val="0"/>
    <w:rPr>
      <w:rFonts w:ascii="宋体" w:hAnsi="宋体"/>
      <w:b/>
      <w:sz w:val="21"/>
      <w:szCs w:val="21"/>
    </w:rPr>
  </w:style>
  <w:style w:type="paragraph" w:customStyle="1" w:styleId="94">
    <w:name w:val="sh3"/>
    <w:basedOn w:val="1"/>
    <w:link w:val="93"/>
    <w:qFormat/>
    <w:uiPriority w:val="0"/>
    <w:pPr>
      <w:widowControl/>
      <w:spacing w:line="460" w:lineRule="exact"/>
      <w:jc w:val="left"/>
    </w:pPr>
    <w:rPr>
      <w:rFonts w:ascii="宋体" w:hAnsi="宋体"/>
      <w:b/>
      <w:kern w:val="0"/>
      <w:szCs w:val="21"/>
    </w:rPr>
  </w:style>
  <w:style w:type="character" w:customStyle="1" w:styleId="95">
    <w:name w:val="标题 2 字符1"/>
    <w:basedOn w:val="26"/>
    <w:qFormat/>
    <w:uiPriority w:val="0"/>
    <w:rPr>
      <w:rFonts w:hint="default" w:ascii="Arial" w:hAnsi="Arial" w:eastAsia="黑体" w:cs="Arial"/>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7BBFFB-2ABD-448F-9DEF-E02E73096D5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12235</Words>
  <Characters>12856</Characters>
  <Lines>96</Lines>
  <Paragraphs>27</Paragraphs>
  <TotalTime>14</TotalTime>
  <ScaleCrop>false</ScaleCrop>
  <LinksUpToDate>false</LinksUpToDate>
  <CharactersWithSpaces>13117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2023-10-08T01:48:00Z</dcterms:created>
  <dc:creator>User</dc:creator>
  <cp:lastModifiedBy>徐建</cp:lastModifiedBy>
  <cp:lastPrinted>2024-07-03T02:41:00Z</cp:lastPrinted>
  <dcterms:modified xsi:type="dcterms:W3CDTF">2025-12-03T07:44:41Z</dcterms:modified>
  <dc:title>南通市环境监测中心站火焰原子吸收光谱仪项目</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A14979160D31468DAE25AAA624CFED90</vt:lpwstr>
  </property>
  <property fmtid="{D5CDD505-2E9C-101B-9397-08002B2CF9AE}" pid="4" name="KSOTemplateDocerSaveRecord">
    <vt:lpwstr>eyJoZGlkIjoiYWUzZDA1MGE2OTRjMTZmN2NkOGI4N2YwZjc2OGFhMDgiLCJ1c2VySWQiOiIxNzA3MjYzMDY2In0=</vt:lpwstr>
  </property>
</Properties>
</file>