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1B6D6">
      <w:pPr>
        <w:autoSpaceDE w:val="0"/>
        <w:autoSpaceDN w:val="0"/>
        <w:jc w:val="center"/>
        <w:outlineLvl w:val="0"/>
        <w:rPr>
          <w:rFonts w:hint="eastAsia" w:eastAsia="宋体"/>
          <w:b/>
          <w:snapToGrid w:val="0"/>
          <w:color w:val="auto"/>
          <w:sz w:val="52"/>
          <w:szCs w:val="52"/>
          <w:highlight w:val="none"/>
          <w:lang w:eastAsia="zh-CN"/>
        </w:rPr>
      </w:pPr>
      <w:r>
        <w:rPr>
          <w:rFonts w:hint="eastAsia"/>
          <w:b/>
          <w:snapToGrid w:val="0"/>
          <w:color w:val="auto"/>
          <w:sz w:val="52"/>
          <w:szCs w:val="52"/>
          <w:highlight w:val="none"/>
          <w:lang w:eastAsia="zh-CN"/>
        </w:rPr>
        <w:t>南通市水产品养殖滥用药专项整治检测项目（2026年度）</w:t>
      </w:r>
    </w:p>
    <w:p w14:paraId="74D5D64C">
      <w:pPr>
        <w:pStyle w:val="71"/>
        <w:rPr>
          <w:rFonts w:hint="eastAsia" w:ascii="宋体" w:hAnsi="宋体" w:eastAsia="宋体" w:cs="宋体"/>
          <w:bCs/>
          <w:color w:val="auto"/>
          <w:sz w:val="48"/>
          <w:szCs w:val="48"/>
          <w:highlight w:val="none"/>
        </w:rPr>
      </w:pPr>
    </w:p>
    <w:p w14:paraId="7403F5D0">
      <w:pPr>
        <w:pStyle w:val="71"/>
        <w:rPr>
          <w:rFonts w:hint="eastAsia" w:ascii="宋体" w:hAnsi="宋体" w:eastAsia="宋体" w:cs="宋体"/>
          <w:bCs/>
          <w:color w:val="auto"/>
          <w:sz w:val="48"/>
          <w:szCs w:val="48"/>
          <w:highlight w:val="none"/>
        </w:rPr>
      </w:pPr>
    </w:p>
    <w:p w14:paraId="50029590">
      <w:pPr>
        <w:jc w:val="center"/>
        <w:rPr>
          <w:rFonts w:hint="eastAsia" w:ascii="宋体" w:hAnsi="宋体" w:eastAsia="宋体" w:cs="宋体"/>
          <w:bCs/>
          <w:color w:val="auto"/>
          <w:sz w:val="100"/>
          <w:szCs w:val="100"/>
          <w:highlight w:val="none"/>
        </w:rPr>
      </w:pPr>
      <w:r>
        <w:rPr>
          <w:rFonts w:hint="eastAsia" w:ascii="宋体" w:hAnsi="宋体" w:eastAsia="宋体" w:cs="宋体"/>
          <w:bCs/>
          <w:color w:val="auto"/>
          <w:sz w:val="100"/>
          <w:szCs w:val="100"/>
          <w:highlight w:val="none"/>
          <w:lang w:val="en-US" w:eastAsia="zh-CN"/>
        </w:rPr>
        <w:t>公开</w:t>
      </w:r>
      <w:r>
        <w:rPr>
          <w:rFonts w:hint="eastAsia" w:ascii="宋体" w:hAnsi="宋体" w:eastAsia="宋体" w:cs="宋体"/>
          <w:bCs/>
          <w:color w:val="auto"/>
          <w:sz w:val="100"/>
          <w:szCs w:val="100"/>
          <w:highlight w:val="none"/>
        </w:rPr>
        <w:t>招标文件</w:t>
      </w:r>
    </w:p>
    <w:p w14:paraId="20BB9319">
      <w:pPr>
        <w:pStyle w:val="7"/>
        <w:spacing w:line="500" w:lineRule="exact"/>
        <w:rPr>
          <w:rFonts w:hint="eastAsia" w:ascii="宋体" w:hAnsi="宋体" w:eastAsia="宋体" w:cs="宋体"/>
          <w:b w:val="0"/>
          <w:bCs/>
          <w:color w:val="auto"/>
          <w:highlight w:val="none"/>
        </w:rPr>
      </w:pPr>
    </w:p>
    <w:p w14:paraId="0DAF7A6F">
      <w:pPr>
        <w:pStyle w:val="7"/>
        <w:spacing w:line="500" w:lineRule="exact"/>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rPr>
        <w:t>项目编号：</w:t>
      </w:r>
      <w:r>
        <w:rPr>
          <w:rFonts w:hint="eastAsia" w:ascii="宋体" w:hAnsi="宋体" w:eastAsia="宋体" w:cs="宋体"/>
          <w:bCs/>
          <w:color w:val="auto"/>
          <w:sz w:val="36"/>
          <w:szCs w:val="36"/>
          <w:highlight w:val="none"/>
          <w:lang w:eastAsia="zh-CN"/>
        </w:rPr>
        <w:t>ZRNT2026007</w:t>
      </w:r>
      <w:r>
        <w:rPr>
          <w:rFonts w:hint="eastAsia" w:ascii="宋体" w:hAnsi="宋体" w:cs="宋体"/>
          <w:bCs/>
          <w:color w:val="auto"/>
          <w:sz w:val="36"/>
          <w:szCs w:val="36"/>
          <w:highlight w:val="none"/>
          <w:lang w:val="en-US" w:eastAsia="zh-CN"/>
        </w:rPr>
        <w:t>4</w:t>
      </w:r>
    </w:p>
    <w:p w14:paraId="49ACFF1F">
      <w:pPr>
        <w:spacing w:line="500" w:lineRule="exact"/>
        <w:jc w:val="center"/>
        <w:rPr>
          <w:rFonts w:hint="eastAsia" w:ascii="宋体" w:hAnsi="宋体" w:eastAsia="宋体" w:cs="宋体"/>
          <w:b/>
          <w:color w:val="auto"/>
          <w:sz w:val="36"/>
          <w:highlight w:val="none"/>
        </w:rPr>
      </w:pPr>
    </w:p>
    <w:p w14:paraId="15801C63">
      <w:pPr>
        <w:spacing w:line="500" w:lineRule="exact"/>
        <w:jc w:val="center"/>
        <w:rPr>
          <w:rFonts w:hint="eastAsia" w:ascii="宋体" w:hAnsi="宋体" w:eastAsia="宋体" w:cs="宋体"/>
          <w:b/>
          <w:color w:val="auto"/>
          <w:sz w:val="36"/>
          <w:highlight w:val="none"/>
        </w:rPr>
      </w:pPr>
    </w:p>
    <w:p w14:paraId="42B9653E">
      <w:pPr>
        <w:spacing w:line="500" w:lineRule="exact"/>
        <w:jc w:val="center"/>
        <w:rPr>
          <w:rFonts w:hint="eastAsia" w:ascii="宋体" w:hAnsi="宋体" w:eastAsia="宋体" w:cs="宋体"/>
          <w:b/>
          <w:color w:val="auto"/>
          <w:sz w:val="36"/>
          <w:highlight w:val="none"/>
        </w:rPr>
      </w:pPr>
    </w:p>
    <w:p w14:paraId="18607E9A">
      <w:pPr>
        <w:rPr>
          <w:rFonts w:hint="eastAsia" w:ascii="宋体" w:hAnsi="宋体" w:eastAsia="宋体" w:cs="宋体"/>
          <w:color w:val="auto"/>
          <w:sz w:val="32"/>
          <w:highlight w:val="none"/>
        </w:rPr>
      </w:pPr>
    </w:p>
    <w:p w14:paraId="3CEA2873">
      <w:pPr>
        <w:pStyle w:val="17"/>
        <w:rPr>
          <w:rFonts w:hint="eastAsia" w:ascii="宋体" w:hAnsi="宋体" w:eastAsia="宋体" w:cs="宋体"/>
          <w:color w:val="auto"/>
          <w:highlight w:val="none"/>
        </w:rPr>
      </w:pPr>
    </w:p>
    <w:p w14:paraId="07C565E6">
      <w:pPr>
        <w:pStyle w:val="20"/>
        <w:rPr>
          <w:rFonts w:hint="eastAsia" w:ascii="宋体" w:hAnsi="宋体" w:eastAsia="宋体" w:cs="宋体"/>
          <w:color w:val="auto"/>
          <w:highlight w:val="none"/>
        </w:rPr>
      </w:pPr>
    </w:p>
    <w:p w14:paraId="0AE41499">
      <w:pPr>
        <w:pStyle w:val="97"/>
        <w:rPr>
          <w:rFonts w:hint="eastAsia" w:ascii="宋体" w:hAnsi="宋体" w:eastAsia="宋体" w:cs="宋体"/>
          <w:color w:val="auto"/>
          <w:sz w:val="32"/>
          <w:highlight w:val="none"/>
        </w:rPr>
      </w:pPr>
    </w:p>
    <w:p w14:paraId="2F13590F">
      <w:pPr>
        <w:spacing w:line="500" w:lineRule="exact"/>
        <w:rPr>
          <w:rFonts w:hint="eastAsia" w:ascii="宋体" w:hAnsi="宋体" w:eastAsia="宋体" w:cs="宋体"/>
          <w:color w:val="auto"/>
          <w:sz w:val="32"/>
          <w:highlight w:val="none"/>
        </w:rPr>
      </w:pPr>
    </w:p>
    <w:p w14:paraId="29E08084">
      <w:pPr>
        <w:spacing w:line="500" w:lineRule="exact"/>
        <w:jc w:val="center"/>
        <w:rPr>
          <w:rFonts w:hint="eastAsia" w:ascii="宋体" w:hAnsi="宋体" w:eastAsia="宋体" w:cs="宋体"/>
          <w:color w:val="auto"/>
          <w:sz w:val="32"/>
          <w:highlight w:val="none"/>
        </w:rPr>
      </w:pPr>
    </w:p>
    <w:p w14:paraId="29855712">
      <w:pPr>
        <w:spacing w:line="500" w:lineRule="exact"/>
        <w:rPr>
          <w:rFonts w:hint="eastAsia" w:ascii="宋体" w:hAnsi="宋体" w:eastAsia="宋体" w:cs="宋体"/>
          <w:color w:val="auto"/>
          <w:sz w:val="32"/>
          <w:highlight w:val="none"/>
        </w:rPr>
      </w:pPr>
    </w:p>
    <w:p w14:paraId="01ED731C">
      <w:pPr>
        <w:adjustRightInd w:val="0"/>
        <w:spacing w:before="120" w:after="120" w:line="500" w:lineRule="exact"/>
        <w:ind w:left="-2" w:right="120"/>
        <w:jc w:val="center"/>
        <w:textAlignment w:val="baseline"/>
        <w:rPr>
          <w:rFonts w:hint="eastAsia" w:ascii="宋体" w:hAnsi="宋体" w:eastAsia="宋体" w:cs="宋体"/>
          <w:b/>
          <w:color w:val="auto"/>
          <w:spacing w:val="20"/>
          <w:sz w:val="40"/>
          <w:szCs w:val="40"/>
          <w:highlight w:val="none"/>
        </w:rPr>
      </w:pPr>
    </w:p>
    <w:p w14:paraId="226D2B33">
      <w:pPr>
        <w:adjustRightInd w:val="0"/>
        <w:spacing w:before="120" w:after="120" w:line="500" w:lineRule="exact"/>
        <w:ind w:right="120"/>
        <w:jc w:val="center"/>
        <w:textAlignment w:val="baseline"/>
        <w:rPr>
          <w:rFonts w:hint="eastAsia" w:ascii="宋体" w:hAnsi="宋体" w:eastAsia="宋体" w:cs="宋体"/>
          <w:b/>
          <w:color w:val="auto"/>
          <w:spacing w:val="20"/>
          <w:sz w:val="40"/>
          <w:szCs w:val="40"/>
          <w:highlight w:val="none"/>
          <w:lang w:eastAsia="zh-CN"/>
        </w:rPr>
      </w:pPr>
      <w:r>
        <w:rPr>
          <w:rFonts w:hint="eastAsia" w:ascii="宋体" w:hAnsi="宋体" w:cs="宋体"/>
          <w:b/>
          <w:color w:val="auto"/>
          <w:spacing w:val="20"/>
          <w:sz w:val="40"/>
          <w:szCs w:val="40"/>
          <w:highlight w:val="none"/>
          <w:lang w:eastAsia="zh-CN"/>
        </w:rPr>
        <w:t xml:space="preserve">南通市农业农村局 </w:t>
      </w:r>
    </w:p>
    <w:p w14:paraId="73E35E70">
      <w:pPr>
        <w:adjustRightInd w:val="0"/>
        <w:spacing w:before="120" w:after="120" w:line="500" w:lineRule="exact"/>
        <w:ind w:right="120"/>
        <w:jc w:val="center"/>
        <w:textAlignment w:val="baseline"/>
        <w:rPr>
          <w:rFonts w:hint="eastAsia" w:ascii="宋体" w:hAnsi="宋体" w:eastAsia="宋体" w:cs="宋体"/>
          <w:b/>
          <w:bCs/>
          <w:color w:val="auto"/>
          <w:sz w:val="44"/>
          <w:szCs w:val="44"/>
          <w:highlight w:val="none"/>
        </w:rPr>
      </w:pPr>
      <w:r>
        <w:rPr>
          <w:rFonts w:hint="eastAsia" w:ascii="宋体" w:hAnsi="宋体" w:eastAsia="宋体" w:cs="宋体"/>
          <w:b/>
          <w:bCs/>
          <w:color w:val="auto"/>
          <w:sz w:val="32"/>
          <w:highlight w:val="none"/>
        </w:rPr>
        <w:t>202</w:t>
      </w:r>
      <w:r>
        <w:rPr>
          <w:rFonts w:hint="eastAsia" w:ascii="宋体" w:hAnsi="宋体" w:eastAsia="宋体" w:cs="宋体"/>
          <w:b/>
          <w:bCs/>
          <w:color w:val="auto"/>
          <w:sz w:val="32"/>
          <w:highlight w:val="none"/>
          <w:lang w:val="en-US" w:eastAsia="zh-CN"/>
        </w:rPr>
        <w:t>6</w:t>
      </w:r>
      <w:r>
        <w:rPr>
          <w:rFonts w:hint="eastAsia" w:ascii="宋体" w:hAnsi="宋体" w:eastAsia="宋体" w:cs="宋体"/>
          <w:b/>
          <w:bCs/>
          <w:color w:val="auto"/>
          <w:sz w:val="32"/>
          <w:highlight w:val="none"/>
        </w:rPr>
        <w:t>年</w:t>
      </w:r>
      <w:r>
        <w:rPr>
          <w:rFonts w:hint="eastAsia" w:ascii="宋体" w:hAnsi="宋体" w:cs="宋体"/>
          <w:b/>
          <w:bCs/>
          <w:color w:val="auto"/>
          <w:sz w:val="32"/>
          <w:highlight w:val="none"/>
          <w:lang w:val="en-US" w:eastAsia="zh-CN"/>
        </w:rPr>
        <w:t>4</w:t>
      </w:r>
      <w:r>
        <w:rPr>
          <w:rFonts w:hint="eastAsia" w:ascii="宋体" w:hAnsi="宋体" w:eastAsia="宋体" w:cs="宋体"/>
          <w:b/>
          <w:bCs/>
          <w:color w:val="auto"/>
          <w:sz w:val="32"/>
          <w:highlight w:val="none"/>
        </w:rPr>
        <w:t>月</w:t>
      </w:r>
    </w:p>
    <w:p w14:paraId="24E8504C">
      <w:pPr>
        <w:adjustRightInd w:val="0"/>
        <w:snapToGrid w:val="0"/>
        <w:ind w:left="-158" w:leftChars="-7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目 录</w:t>
      </w:r>
    </w:p>
    <w:p w14:paraId="0418C4DC">
      <w:pPr>
        <w:tabs>
          <w:tab w:val="left" w:pos="7740"/>
        </w:tabs>
        <w:adjustRightInd w:val="0"/>
        <w:snapToGrid w:val="0"/>
        <w:spacing w:line="1000" w:lineRule="exact"/>
        <w:ind w:firstLine="640" w:firstLineChars="200"/>
        <w:rPr>
          <w:rFonts w:hint="eastAsia" w:ascii="宋体" w:hAnsi="宋体" w:eastAsia="宋体" w:cs="宋体"/>
          <w:bCs/>
          <w:color w:val="auto"/>
          <w:sz w:val="32"/>
          <w:szCs w:val="32"/>
          <w:highlight w:val="none"/>
        </w:rPr>
      </w:pPr>
    </w:p>
    <w:p w14:paraId="01CC86FB">
      <w:pPr>
        <w:tabs>
          <w:tab w:val="left" w:pos="7740"/>
        </w:tabs>
        <w:adjustRightInd w:val="0"/>
        <w:snapToGrid w:val="0"/>
        <w:spacing w:line="1000" w:lineRule="exact"/>
        <w:ind w:firstLine="640" w:firstLineChars="20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第一部分  投标邀请</w:t>
      </w:r>
    </w:p>
    <w:p w14:paraId="0739822B">
      <w:pPr>
        <w:tabs>
          <w:tab w:val="left" w:pos="7740"/>
        </w:tabs>
        <w:adjustRightInd w:val="0"/>
        <w:snapToGrid w:val="0"/>
        <w:spacing w:line="1000" w:lineRule="exact"/>
        <w:ind w:firstLine="640" w:firstLineChars="20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第二部分  投标须知</w:t>
      </w:r>
    </w:p>
    <w:p w14:paraId="79E12709">
      <w:pPr>
        <w:tabs>
          <w:tab w:val="left" w:pos="7740"/>
        </w:tabs>
        <w:adjustRightInd w:val="0"/>
        <w:snapToGrid w:val="0"/>
        <w:spacing w:line="1000" w:lineRule="exact"/>
        <w:ind w:firstLine="640" w:firstLineChars="20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第三部分  项目需求</w:t>
      </w:r>
    </w:p>
    <w:p w14:paraId="29EE692A">
      <w:pPr>
        <w:tabs>
          <w:tab w:val="left" w:pos="7740"/>
        </w:tabs>
        <w:adjustRightInd w:val="0"/>
        <w:snapToGrid w:val="0"/>
        <w:spacing w:line="1000" w:lineRule="exact"/>
        <w:ind w:firstLine="640" w:firstLineChars="200"/>
        <w:rPr>
          <w:rFonts w:hint="eastAsia" w:ascii="宋体" w:hAnsi="宋体" w:eastAsia="宋体" w:cs="宋体"/>
          <w:color w:val="auto"/>
          <w:spacing w:val="2"/>
          <w:sz w:val="32"/>
          <w:szCs w:val="32"/>
          <w:highlight w:val="none"/>
        </w:rPr>
      </w:pPr>
      <w:r>
        <w:rPr>
          <w:rFonts w:hint="eastAsia" w:ascii="宋体" w:hAnsi="宋体" w:eastAsia="宋体" w:cs="宋体"/>
          <w:color w:val="auto"/>
          <w:sz w:val="32"/>
          <w:szCs w:val="32"/>
          <w:highlight w:val="none"/>
        </w:rPr>
        <w:t xml:space="preserve">第四部分  </w:t>
      </w:r>
      <w:r>
        <w:rPr>
          <w:rFonts w:hint="eastAsia" w:ascii="宋体" w:hAnsi="宋体" w:eastAsia="宋体" w:cs="宋体"/>
          <w:bCs/>
          <w:color w:val="auto"/>
          <w:sz w:val="32"/>
          <w:szCs w:val="32"/>
          <w:highlight w:val="none"/>
        </w:rPr>
        <w:t>开标和评标</w:t>
      </w:r>
    </w:p>
    <w:p w14:paraId="5B7B3FFA">
      <w:pPr>
        <w:tabs>
          <w:tab w:val="left" w:pos="7740"/>
        </w:tabs>
        <w:adjustRightInd w:val="0"/>
        <w:snapToGrid w:val="0"/>
        <w:spacing w:line="1000" w:lineRule="exact"/>
        <w:ind w:firstLine="640" w:firstLineChars="20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第五部分  投标文件组成</w:t>
      </w:r>
    </w:p>
    <w:p w14:paraId="3C8AFEFA">
      <w:pPr>
        <w:spacing w:line="500" w:lineRule="exact"/>
        <w:rPr>
          <w:rFonts w:hint="eastAsia" w:ascii="宋体" w:hAnsi="宋体" w:eastAsia="宋体" w:cs="宋体"/>
          <w:b/>
          <w:color w:val="auto"/>
          <w:sz w:val="32"/>
          <w:szCs w:val="32"/>
          <w:highlight w:val="none"/>
        </w:rPr>
      </w:pPr>
    </w:p>
    <w:p w14:paraId="6BC5954E">
      <w:pPr>
        <w:tabs>
          <w:tab w:val="left" w:pos="7740"/>
        </w:tabs>
        <w:spacing w:line="500" w:lineRule="exact"/>
        <w:rPr>
          <w:rFonts w:hint="eastAsia" w:ascii="宋体" w:hAnsi="宋体" w:eastAsia="宋体" w:cs="宋体"/>
          <w:b/>
          <w:color w:val="auto"/>
          <w:spacing w:val="2"/>
          <w:sz w:val="32"/>
          <w:szCs w:val="32"/>
          <w:highlight w:val="none"/>
        </w:rPr>
      </w:pPr>
    </w:p>
    <w:p w14:paraId="5A3B0C2A">
      <w:pPr>
        <w:tabs>
          <w:tab w:val="left" w:pos="7740"/>
        </w:tabs>
        <w:spacing w:line="500" w:lineRule="exact"/>
        <w:rPr>
          <w:rFonts w:hint="eastAsia" w:ascii="宋体" w:hAnsi="宋体" w:eastAsia="宋体" w:cs="宋体"/>
          <w:b/>
          <w:color w:val="auto"/>
          <w:spacing w:val="2"/>
          <w:sz w:val="32"/>
          <w:szCs w:val="32"/>
          <w:highlight w:val="none"/>
        </w:rPr>
      </w:pPr>
    </w:p>
    <w:p w14:paraId="0E5501E3">
      <w:pPr>
        <w:tabs>
          <w:tab w:val="left" w:pos="7740"/>
        </w:tabs>
        <w:spacing w:line="500" w:lineRule="exact"/>
        <w:rPr>
          <w:rFonts w:hint="eastAsia" w:ascii="宋体" w:hAnsi="宋体" w:eastAsia="宋体" w:cs="宋体"/>
          <w:b/>
          <w:bCs/>
          <w:color w:val="auto"/>
          <w:sz w:val="32"/>
          <w:szCs w:val="32"/>
          <w:highlight w:val="none"/>
        </w:rPr>
      </w:pPr>
    </w:p>
    <w:p w14:paraId="5CC7D345">
      <w:pPr>
        <w:spacing w:line="500" w:lineRule="exact"/>
        <w:outlineLvl w:val="0"/>
        <w:rPr>
          <w:rFonts w:hint="eastAsia" w:ascii="宋体" w:hAnsi="宋体" w:eastAsia="宋体" w:cs="宋体"/>
          <w:b/>
          <w:color w:val="auto"/>
          <w:sz w:val="44"/>
          <w:szCs w:val="44"/>
          <w:highlight w:val="none"/>
        </w:rPr>
      </w:pPr>
    </w:p>
    <w:p w14:paraId="6B318150">
      <w:pPr>
        <w:spacing w:line="500" w:lineRule="exact"/>
        <w:outlineLvl w:val="0"/>
        <w:rPr>
          <w:rFonts w:hint="eastAsia" w:ascii="宋体" w:hAnsi="宋体" w:eastAsia="宋体" w:cs="宋体"/>
          <w:color w:val="auto"/>
          <w:sz w:val="44"/>
          <w:szCs w:val="44"/>
          <w:highlight w:val="none"/>
        </w:rPr>
      </w:pPr>
    </w:p>
    <w:p w14:paraId="43BF6271">
      <w:pPr>
        <w:spacing w:line="500" w:lineRule="exact"/>
        <w:outlineLvl w:val="0"/>
        <w:rPr>
          <w:rFonts w:hint="eastAsia" w:ascii="宋体" w:hAnsi="宋体" w:eastAsia="宋体" w:cs="宋体"/>
          <w:color w:val="auto"/>
          <w:sz w:val="44"/>
          <w:szCs w:val="44"/>
          <w:highlight w:val="none"/>
        </w:rPr>
      </w:pPr>
    </w:p>
    <w:p w14:paraId="06103815">
      <w:pPr>
        <w:spacing w:line="500" w:lineRule="exact"/>
        <w:outlineLvl w:val="0"/>
        <w:rPr>
          <w:rFonts w:hint="eastAsia" w:ascii="宋体" w:hAnsi="宋体" w:eastAsia="宋体" w:cs="宋体"/>
          <w:color w:val="auto"/>
          <w:sz w:val="44"/>
          <w:szCs w:val="44"/>
          <w:highlight w:val="none"/>
        </w:rPr>
      </w:pPr>
    </w:p>
    <w:p w14:paraId="7865FB22">
      <w:pPr>
        <w:spacing w:line="500" w:lineRule="exact"/>
        <w:outlineLvl w:val="0"/>
        <w:rPr>
          <w:rFonts w:hint="eastAsia" w:ascii="宋体" w:hAnsi="宋体" w:eastAsia="宋体" w:cs="宋体"/>
          <w:color w:val="auto"/>
          <w:sz w:val="44"/>
          <w:szCs w:val="44"/>
          <w:highlight w:val="none"/>
        </w:rPr>
      </w:pPr>
    </w:p>
    <w:p w14:paraId="087E07B3">
      <w:pPr>
        <w:spacing w:line="500" w:lineRule="exact"/>
        <w:outlineLvl w:val="0"/>
        <w:rPr>
          <w:rFonts w:hint="eastAsia" w:ascii="宋体" w:hAnsi="宋体" w:eastAsia="宋体" w:cs="宋体"/>
          <w:color w:val="auto"/>
          <w:sz w:val="44"/>
          <w:szCs w:val="44"/>
          <w:highlight w:val="none"/>
        </w:rPr>
      </w:pPr>
    </w:p>
    <w:p w14:paraId="408B55FE">
      <w:pPr>
        <w:adjustRightInd w:val="0"/>
        <w:snapToGrid w:val="0"/>
        <w:spacing w:line="500" w:lineRule="exact"/>
        <w:jc w:val="center"/>
        <w:outlineLvl w:val="0"/>
        <w:rPr>
          <w:rFonts w:hint="eastAsia" w:ascii="宋体" w:hAnsi="宋体" w:eastAsia="宋体" w:cs="宋体"/>
          <w:b/>
          <w:color w:val="auto"/>
          <w:sz w:val="32"/>
          <w:szCs w:val="32"/>
          <w:highlight w:val="none"/>
        </w:rPr>
      </w:pPr>
      <w:bookmarkStart w:id="0" w:name="OLE_LINK7"/>
      <w:bookmarkStart w:id="1" w:name="OLE_LINK5"/>
    </w:p>
    <w:p w14:paraId="7F19C83B">
      <w:pPr>
        <w:adjustRightInd w:val="0"/>
        <w:snapToGrid w:val="0"/>
        <w:spacing w:line="500" w:lineRule="exact"/>
        <w:jc w:val="center"/>
        <w:outlineLvl w:val="0"/>
        <w:rPr>
          <w:rFonts w:hint="eastAsia" w:ascii="宋体" w:hAnsi="宋体" w:eastAsia="宋体" w:cs="宋体"/>
          <w:b/>
          <w:color w:val="auto"/>
          <w:sz w:val="32"/>
          <w:szCs w:val="32"/>
          <w:highlight w:val="none"/>
        </w:rPr>
      </w:pPr>
    </w:p>
    <w:p w14:paraId="2CD0101F">
      <w:pPr>
        <w:adjustRightInd w:val="0"/>
        <w:snapToGrid w:val="0"/>
        <w:spacing w:line="500" w:lineRule="exact"/>
        <w:jc w:val="center"/>
        <w:outlineLvl w:val="0"/>
        <w:rPr>
          <w:rFonts w:hint="eastAsia" w:ascii="宋体" w:hAnsi="宋体" w:eastAsia="宋体" w:cs="宋体"/>
          <w:b/>
          <w:color w:val="auto"/>
          <w:sz w:val="32"/>
          <w:szCs w:val="32"/>
          <w:highlight w:val="none"/>
        </w:rPr>
      </w:pPr>
    </w:p>
    <w:p w14:paraId="0BF57597">
      <w:pPr>
        <w:adjustRightInd w:val="0"/>
        <w:snapToGrid w:val="0"/>
        <w:spacing w:line="500" w:lineRule="exact"/>
        <w:jc w:val="center"/>
        <w:outlineLvl w:val="0"/>
        <w:rPr>
          <w:rFonts w:hint="eastAsia" w:ascii="宋体" w:hAnsi="宋体" w:eastAsia="宋体" w:cs="宋体"/>
          <w:b/>
          <w:color w:val="auto"/>
          <w:sz w:val="32"/>
          <w:szCs w:val="32"/>
          <w:highlight w:val="none"/>
        </w:rPr>
      </w:pPr>
    </w:p>
    <w:p w14:paraId="026FC5E2">
      <w:pPr>
        <w:adjustRightInd w:val="0"/>
        <w:snapToGrid w:val="0"/>
        <w:spacing w:line="500" w:lineRule="exact"/>
        <w:jc w:val="center"/>
        <w:outlineLvl w:val="0"/>
        <w:rPr>
          <w:rFonts w:hint="eastAsia" w:ascii="宋体" w:hAnsi="宋体" w:eastAsia="宋体" w:cs="宋体"/>
          <w:b/>
          <w:color w:val="auto"/>
          <w:sz w:val="36"/>
          <w:szCs w:val="36"/>
          <w:highlight w:val="none"/>
        </w:rPr>
        <w:sectPr>
          <w:footnotePr>
            <w:numStart w:val="0"/>
          </w:footnotePr>
          <w:endnotePr>
            <w:numFmt w:val="decimal"/>
            <w:numStart w:val="0"/>
          </w:endnotePr>
          <w:pgSz w:w="11850" w:h="16783"/>
          <w:pgMar w:top="1440" w:right="2160" w:bottom="1440" w:left="1800" w:header="0" w:footer="0" w:gutter="0"/>
          <w:cols w:space="720" w:num="1"/>
        </w:sectPr>
      </w:pPr>
    </w:p>
    <w:p w14:paraId="3EF90AE0">
      <w:pPr>
        <w:adjustRightInd w:val="0"/>
        <w:snapToGrid w:val="0"/>
        <w:spacing w:line="50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6"/>
          <w:szCs w:val="36"/>
          <w:highlight w:val="none"/>
        </w:rPr>
        <w:t xml:space="preserve">第一部分 </w:t>
      </w:r>
      <w:bookmarkStart w:id="113" w:name="_GoBack"/>
      <w:r>
        <w:rPr>
          <w:rFonts w:hint="eastAsia" w:ascii="宋体" w:hAnsi="宋体" w:eastAsia="宋体" w:cs="宋体"/>
          <w:b/>
          <w:color w:val="auto"/>
          <w:sz w:val="36"/>
          <w:szCs w:val="36"/>
          <w:highlight w:val="none"/>
        </w:rPr>
        <w:t>投标邀请</w:t>
      </w:r>
    </w:p>
    <w:p w14:paraId="2250B15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460" w:lineRule="exact"/>
        <w:textAlignment w:val="auto"/>
        <w:rPr>
          <w:rFonts w:hint="eastAsia" w:ascii="宋体" w:hAnsi="宋体" w:eastAsia="宋体" w:cs="宋体"/>
          <w:color w:val="auto"/>
          <w:sz w:val="28"/>
          <w:szCs w:val="28"/>
          <w:highlight w:val="none"/>
        </w:rPr>
      </w:pPr>
      <w:bookmarkStart w:id="2" w:name="OLE_LINK6"/>
      <w:r>
        <w:rPr>
          <w:rFonts w:hint="eastAsia" w:ascii="宋体" w:hAnsi="宋体" w:eastAsia="宋体" w:cs="宋体"/>
          <w:color w:val="auto"/>
          <w:sz w:val="28"/>
          <w:szCs w:val="28"/>
          <w:highlight w:val="none"/>
        </w:rPr>
        <w:t>项目概况</w:t>
      </w:r>
    </w:p>
    <w:p w14:paraId="2BB469E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kern w:val="1"/>
          <w:sz w:val="28"/>
          <w:szCs w:val="28"/>
          <w:highlight w:val="none"/>
          <w:lang w:val="en-US" w:eastAsia="zh-CN"/>
        </w:rPr>
        <w:t>南通市水产品养殖滥用药专项整治检测项目（2026年度）</w:t>
      </w:r>
      <w:r>
        <w:rPr>
          <w:rFonts w:hint="eastAsia" w:ascii="宋体" w:hAnsi="宋体" w:eastAsia="宋体" w:cs="宋体"/>
          <w:color w:val="auto"/>
          <w:sz w:val="28"/>
          <w:szCs w:val="28"/>
          <w:highlight w:val="none"/>
        </w:rPr>
        <w:t>）的潜在投标人应在</w:t>
      </w:r>
      <w:r>
        <w:rPr>
          <w:rFonts w:hint="eastAsia" w:ascii="宋体" w:hAnsi="宋体" w:eastAsia="宋体" w:cs="宋体"/>
          <w:b/>
          <w:bCs/>
          <w:color w:val="auto"/>
          <w:sz w:val="28"/>
          <w:szCs w:val="28"/>
          <w:highlight w:val="none"/>
          <w:u w:val="single"/>
          <w:lang w:val="en-US" w:eastAsia="zh-CN"/>
        </w:rPr>
        <w:t>本项目代理机构处</w:t>
      </w:r>
      <w:r>
        <w:rPr>
          <w:rFonts w:hint="eastAsia" w:ascii="宋体" w:hAnsi="宋体" w:eastAsia="宋体" w:cs="宋体"/>
          <w:color w:val="auto"/>
          <w:sz w:val="28"/>
          <w:szCs w:val="28"/>
          <w:highlight w:val="none"/>
        </w:rPr>
        <w:t>获取招标文件，并于202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14</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点</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分（北京时间）前递交投标文件。</w:t>
      </w:r>
    </w:p>
    <w:p w14:paraId="76D33D6B">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一、项目基本情况</w:t>
      </w:r>
      <w:r>
        <w:rPr>
          <w:rFonts w:hint="eastAsia" w:ascii="宋体" w:hAnsi="宋体" w:eastAsia="宋体" w:cs="宋体"/>
          <w:b/>
          <w:color w:val="auto"/>
          <w:sz w:val="28"/>
          <w:szCs w:val="28"/>
          <w:highlight w:val="none"/>
        </w:rPr>
        <w:tab/>
      </w:r>
    </w:p>
    <w:p w14:paraId="3E7FFC05">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pacing w:val="7"/>
          <w:kern w:val="0"/>
          <w:sz w:val="28"/>
          <w:szCs w:val="22"/>
          <w:highlight w:val="none"/>
          <w:lang w:val="en-US" w:eastAsia="zh-CN"/>
        </w:rPr>
      </w:pPr>
      <w:r>
        <w:rPr>
          <w:rFonts w:hint="eastAsia" w:ascii="宋体" w:hAnsi="宋体" w:eastAsia="宋体" w:cs="宋体"/>
          <w:color w:val="auto"/>
          <w:sz w:val="28"/>
          <w:szCs w:val="28"/>
          <w:highlight w:val="none"/>
        </w:rPr>
        <w:t>项目编号：ZRNT2026007</w:t>
      </w:r>
      <w:r>
        <w:rPr>
          <w:rFonts w:hint="eastAsia" w:ascii="宋体" w:hAnsi="宋体" w:cs="宋体"/>
          <w:color w:val="auto"/>
          <w:sz w:val="28"/>
          <w:szCs w:val="28"/>
          <w:highlight w:val="none"/>
          <w:lang w:val="en-US" w:eastAsia="zh-CN"/>
        </w:rPr>
        <w:t>4</w:t>
      </w:r>
    </w:p>
    <w:p w14:paraId="77BEC815">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r>
        <w:rPr>
          <w:rFonts w:hint="eastAsia" w:ascii="宋体" w:hAnsi="宋体" w:cs="宋体"/>
          <w:color w:val="auto"/>
          <w:kern w:val="1"/>
          <w:sz w:val="28"/>
          <w:szCs w:val="28"/>
          <w:highlight w:val="none"/>
          <w:lang w:val="en-US" w:eastAsia="zh-CN"/>
        </w:rPr>
        <w:t>南通市水产品养殖滥用药专项整治检测项目（2026年度）</w:t>
      </w:r>
    </w:p>
    <w:p w14:paraId="142D2FC7">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w:t>
      </w:r>
      <w:r>
        <w:rPr>
          <w:rFonts w:hint="eastAsia" w:ascii="宋体" w:hAnsi="宋体" w:eastAsia="宋体" w:cs="宋体"/>
          <w:color w:val="auto"/>
          <w:kern w:val="1"/>
          <w:sz w:val="28"/>
          <w:szCs w:val="28"/>
          <w:highlight w:val="none"/>
          <w:lang w:val="en-US" w:eastAsia="zh-CN"/>
        </w:rPr>
        <w:t>算金额：</w:t>
      </w:r>
      <w:r>
        <w:rPr>
          <w:rFonts w:hint="eastAsia" w:ascii="宋体" w:hAnsi="宋体" w:cs="宋体"/>
          <w:color w:val="auto"/>
          <w:kern w:val="1"/>
          <w:sz w:val="28"/>
          <w:szCs w:val="28"/>
          <w:highlight w:val="none"/>
          <w:lang w:val="en-US" w:eastAsia="zh-CN"/>
        </w:rPr>
        <w:t>50</w:t>
      </w:r>
      <w:r>
        <w:rPr>
          <w:rFonts w:hint="eastAsia" w:ascii="宋体" w:hAnsi="宋体" w:eastAsia="宋体" w:cs="宋体"/>
          <w:color w:val="auto"/>
          <w:kern w:val="1"/>
          <w:sz w:val="28"/>
          <w:szCs w:val="28"/>
          <w:highlight w:val="none"/>
          <w:lang w:val="en-US" w:eastAsia="zh-CN"/>
        </w:rPr>
        <w:t>万元</w:t>
      </w:r>
    </w:p>
    <w:p w14:paraId="3261EBE2">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最高限价：</w:t>
      </w:r>
      <w:r>
        <w:rPr>
          <w:rFonts w:hint="eastAsia" w:ascii="宋体" w:hAnsi="宋体" w:cs="宋体"/>
          <w:color w:val="auto"/>
          <w:sz w:val="28"/>
          <w:szCs w:val="28"/>
          <w:highlight w:val="none"/>
          <w:lang w:val="en-US" w:eastAsia="zh-CN"/>
        </w:rPr>
        <w:t>50</w:t>
      </w:r>
      <w:r>
        <w:rPr>
          <w:rFonts w:hint="eastAsia" w:ascii="宋体" w:hAnsi="宋体" w:eastAsia="宋体" w:cs="宋体"/>
          <w:color w:val="auto"/>
          <w:sz w:val="28"/>
          <w:szCs w:val="28"/>
          <w:highlight w:val="none"/>
        </w:rPr>
        <w:t>万元</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投标报价超过</w:t>
      </w:r>
      <w:r>
        <w:rPr>
          <w:rFonts w:hint="eastAsia" w:ascii="宋体" w:hAnsi="宋体" w:eastAsia="宋体" w:cs="宋体"/>
          <w:color w:val="auto"/>
          <w:sz w:val="28"/>
          <w:szCs w:val="28"/>
          <w:highlight w:val="none"/>
          <w:lang w:val="en-US" w:eastAsia="zh-CN"/>
        </w:rPr>
        <w:t>最</w:t>
      </w:r>
      <w:r>
        <w:rPr>
          <w:rFonts w:hint="eastAsia" w:ascii="宋体" w:hAnsi="宋体" w:eastAsia="宋体" w:cs="宋体"/>
          <w:color w:val="auto"/>
          <w:sz w:val="28"/>
          <w:szCs w:val="28"/>
          <w:highlight w:val="none"/>
        </w:rPr>
        <w:t>高限价，作无效标处理。</w:t>
      </w:r>
    </w:p>
    <w:p w14:paraId="3D0A0246">
      <w:pPr>
        <w:keepNext w:val="0"/>
        <w:keepLines w:val="0"/>
        <w:pageBreakBefore w:val="0"/>
        <w:widowControl w:val="0"/>
        <w:kinsoku/>
        <w:wordWrap/>
        <w:overflowPunct/>
        <w:topLinePunct w:val="0"/>
        <w:autoSpaceDE w:val="0"/>
        <w:autoSpaceDN w:val="0"/>
        <w:bidi w:val="0"/>
        <w:adjustRightIn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采购需求：抽检“采样费+检测费”水产品720批次，每月随机抽检重点问题水产品（及）60批次，持续12个月，重点抽检鳊鱼、黄鳝、泥鳅、牛蛙和鲫鱼、乌鳢、大口黑鲈，覆盖10个县（市、区）</w:t>
      </w:r>
      <w:r>
        <w:rPr>
          <w:rFonts w:hint="eastAsia" w:ascii="宋体" w:hAnsi="宋体" w:cs="宋体"/>
          <w:color w:val="auto"/>
          <w:sz w:val="28"/>
          <w:szCs w:val="28"/>
          <w:highlight w:val="none"/>
          <w:lang w:val="en-US" w:eastAsia="zh-CN"/>
        </w:rPr>
        <w:t>（主要为南通经济技术开发区、崇川区、苏锡通园区、通州湾示范区、启东市、海门区、通州区、如东县、如皋市、海安市）的农贸市场</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每个农贸市场原则上不超过3个样品，每个月鳊鱼、黄鳝、泥鳅、牛蛙抽样数量不少于30个，</w:t>
      </w:r>
      <w:r>
        <w:rPr>
          <w:rFonts w:hint="eastAsia" w:ascii="宋体" w:hAnsi="宋体" w:eastAsia="宋体" w:cs="宋体"/>
          <w:color w:val="auto"/>
          <w:sz w:val="28"/>
          <w:szCs w:val="28"/>
          <w:highlight w:val="none"/>
        </w:rPr>
        <w:t>请仔细研究。</w:t>
      </w:r>
    </w:p>
    <w:p w14:paraId="440B1B1A">
      <w:pPr>
        <w:keepNext w:val="0"/>
        <w:keepLines w:val="0"/>
        <w:pageBreakBefore w:val="0"/>
        <w:widowControl w:val="0"/>
        <w:kinsoku/>
        <w:wordWrap/>
        <w:overflowPunct/>
        <w:topLinePunct w:val="0"/>
        <w:autoSpaceDE w:val="0"/>
        <w:autoSpaceDN w:val="0"/>
        <w:bidi w:val="0"/>
        <w:adjustRightInd w:val="0"/>
        <w:spacing w:line="460" w:lineRule="exact"/>
        <w:ind w:firstLine="560" w:firstLineChars="200"/>
        <w:textAlignment w:val="auto"/>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合同履行期限</w:t>
      </w:r>
      <w:r>
        <w:rPr>
          <w:rFonts w:hint="eastAsia" w:ascii="宋体" w:hAnsi="宋体" w:eastAsia="宋体" w:cs="宋体"/>
          <w:color w:val="auto"/>
          <w:sz w:val="28"/>
          <w:szCs w:val="28"/>
          <w:highlight w:val="none"/>
        </w:rPr>
        <w:t>：自</w:t>
      </w:r>
      <w:r>
        <w:rPr>
          <w:rFonts w:hint="eastAsia" w:ascii="宋体" w:hAnsi="宋体" w:cs="宋体"/>
          <w:color w:val="auto"/>
          <w:sz w:val="28"/>
          <w:szCs w:val="28"/>
          <w:highlight w:val="none"/>
          <w:lang w:eastAsia="zh-CN"/>
        </w:rPr>
        <w:t>合同签订</w:t>
      </w:r>
      <w:r>
        <w:rPr>
          <w:rFonts w:hint="eastAsia" w:ascii="宋体" w:hAnsi="宋体" w:eastAsia="宋体" w:cs="宋体"/>
          <w:color w:val="auto"/>
          <w:sz w:val="28"/>
          <w:szCs w:val="28"/>
          <w:highlight w:val="none"/>
        </w:rPr>
        <w:t>之日起</w:t>
      </w:r>
      <w:r>
        <w:rPr>
          <w:rFonts w:hint="eastAsia" w:ascii="宋体" w:hAnsi="宋体" w:cs="宋体"/>
          <w:color w:val="auto"/>
          <w:sz w:val="28"/>
          <w:szCs w:val="28"/>
          <w:highlight w:val="none"/>
          <w:lang w:val="en-US" w:eastAsia="zh-CN"/>
        </w:rPr>
        <w:t>完成12个月抽检任务止</w:t>
      </w:r>
      <w:r>
        <w:rPr>
          <w:rFonts w:hint="eastAsia" w:ascii="宋体" w:hAnsi="宋体" w:eastAsia="宋体" w:cs="宋体"/>
          <w:color w:val="auto"/>
          <w:sz w:val="28"/>
          <w:szCs w:val="28"/>
          <w:highlight w:val="none"/>
        </w:rPr>
        <w:t>（除应急处置的样品须在样品送达后24小时内完成检测外，其他样品在每次采样后</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个</w:t>
      </w:r>
      <w:r>
        <w:rPr>
          <w:rFonts w:hint="eastAsia" w:ascii="宋体" w:hAnsi="宋体" w:cs="宋体"/>
          <w:color w:val="auto"/>
          <w:sz w:val="28"/>
          <w:szCs w:val="28"/>
          <w:highlight w:val="none"/>
          <w:lang w:val="en-US" w:eastAsia="zh-CN"/>
        </w:rPr>
        <w:t>日历天</w:t>
      </w:r>
      <w:r>
        <w:rPr>
          <w:rFonts w:hint="eastAsia" w:ascii="宋体" w:hAnsi="宋体" w:eastAsia="宋体" w:cs="宋体"/>
          <w:color w:val="auto"/>
          <w:sz w:val="28"/>
          <w:szCs w:val="28"/>
          <w:highlight w:val="none"/>
        </w:rPr>
        <w:t>内完成检测任务，并汇总样品采样和检测结果信息，出具检测报告）。</w:t>
      </w:r>
    </w:p>
    <w:p w14:paraId="120671B8">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rPr>
        <w:t>本项目是否接受联合体投标：否。</w:t>
      </w:r>
    </w:p>
    <w:p w14:paraId="5621FEFD">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二、申请人的资格要求</w:t>
      </w:r>
    </w:p>
    <w:p w14:paraId="05DD9A21">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24FE3B95">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提供有效的营业执照副本</w:t>
      </w:r>
      <w:r>
        <w:rPr>
          <w:rFonts w:hint="eastAsia" w:ascii="宋体" w:hAnsi="宋体" w:eastAsia="宋体" w:cs="宋体"/>
          <w:color w:val="auto"/>
          <w:sz w:val="28"/>
          <w:szCs w:val="28"/>
          <w:highlight w:val="none"/>
          <w:lang w:eastAsia="zh-CN"/>
        </w:rPr>
        <w:t>；</w:t>
      </w:r>
    </w:p>
    <w:p w14:paraId="282812D4">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.具有有效期内的计量认证（CMA）资质证书及农产品质量安全检验检测机构认证资格（CATL）证书，证书中检测能力列表须包含标书中所涉及的全部检测参数（</w:t>
      </w:r>
      <w:r>
        <w:rPr>
          <w:rFonts w:hint="eastAsia" w:ascii="宋体" w:hAnsi="宋体" w:cs="宋体"/>
          <w:color w:val="auto"/>
          <w:sz w:val="28"/>
          <w:szCs w:val="28"/>
          <w:highlight w:val="none"/>
          <w:lang w:val="en-US" w:eastAsia="zh-CN"/>
        </w:rPr>
        <w:t>需</w:t>
      </w:r>
      <w:r>
        <w:rPr>
          <w:rFonts w:hint="eastAsia" w:ascii="宋体" w:hAnsi="宋体" w:eastAsia="宋体" w:cs="宋体"/>
          <w:color w:val="auto"/>
          <w:sz w:val="28"/>
          <w:szCs w:val="28"/>
          <w:highlight w:val="none"/>
          <w:lang w:val="zh-CN"/>
        </w:rPr>
        <w:t>提供列表索引相关检测能力对应的证书附件页码，便于查阅）；</w:t>
      </w:r>
    </w:p>
    <w:p w14:paraId="4632E991">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单位负责人为同一人或者存在直接控股、管理关系的不同供应商，不得参加同一合同项下的政府采购活动。法定代表人为同一个人的两个及两个以上法人，母公司、全资子公司及其控股公司，都不得参加同一合同项目的采购活动</w:t>
      </w:r>
      <w:r>
        <w:rPr>
          <w:rFonts w:hint="eastAsia" w:ascii="宋体" w:hAnsi="宋体" w:cs="宋体"/>
          <w:color w:val="auto"/>
          <w:sz w:val="28"/>
          <w:szCs w:val="28"/>
          <w:highlight w:val="none"/>
          <w:lang w:eastAsia="zh-CN"/>
        </w:rPr>
        <w:t>。</w:t>
      </w:r>
    </w:p>
    <w:p w14:paraId="4224596F">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三、获取招标文件</w:t>
      </w:r>
    </w:p>
    <w:p w14:paraId="7E9FF8E2">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23</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13</w:t>
      </w:r>
      <w:r>
        <w:rPr>
          <w:rFonts w:hint="eastAsia" w:ascii="宋体" w:hAnsi="宋体" w:eastAsia="宋体" w:cs="宋体"/>
          <w:color w:val="auto"/>
          <w:sz w:val="28"/>
          <w:szCs w:val="28"/>
          <w:highlight w:val="none"/>
        </w:rPr>
        <w:t>日；</w:t>
      </w:r>
    </w:p>
    <w:p w14:paraId="55AE523B">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val="en-US" w:eastAsia="zh-CN"/>
        </w:rPr>
        <w:t>本项目代理机构处</w:t>
      </w:r>
      <w:r>
        <w:rPr>
          <w:rFonts w:hint="eastAsia" w:ascii="宋体" w:hAnsi="宋体" w:eastAsia="宋体" w:cs="宋体"/>
          <w:color w:val="auto"/>
          <w:sz w:val="28"/>
          <w:szCs w:val="28"/>
          <w:highlight w:val="none"/>
        </w:rPr>
        <w:t>；</w:t>
      </w:r>
    </w:p>
    <w:p w14:paraId="73FF2AAB">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方式：有意参加本项目响应的供应商，请提供营业执照副本复印件加盖公章和授权委托书原件（如需），于本项目采购公告开始时间至开标截止时间前一个工作日，与代理机构联系获取</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文件。电话：15006287999。</w:t>
      </w:r>
    </w:p>
    <w:p w14:paraId="7E7129D5">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四、提交投标文件截止时间、开标时间和地点</w:t>
      </w:r>
    </w:p>
    <w:p w14:paraId="1EA5D836">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14</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点</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分（北京时间）。逾时，招标人将拒绝接受投标响应文件。</w:t>
      </w:r>
    </w:p>
    <w:p w14:paraId="127190AF">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u w:val="single"/>
        </w:rPr>
        <w:t>崇川区崇川路58号南通产业技术研究院9号楼1楼大厅西侧A101室</w:t>
      </w:r>
      <w:r>
        <w:rPr>
          <w:rFonts w:hint="eastAsia" w:ascii="宋体" w:hAnsi="宋体" w:eastAsia="宋体" w:cs="宋体"/>
          <w:color w:val="auto"/>
          <w:sz w:val="28"/>
          <w:szCs w:val="28"/>
          <w:highlight w:val="none"/>
          <w:u w:val="single"/>
          <w:lang w:eastAsia="zh-CN"/>
        </w:rPr>
        <w:t>，如有变动另行通知。</w:t>
      </w:r>
    </w:p>
    <w:p w14:paraId="2FA358E0">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五、公告期限</w:t>
      </w:r>
    </w:p>
    <w:p w14:paraId="7F34D6B3">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自本公告发布之日起5个工作日。</w:t>
      </w:r>
    </w:p>
    <w:p w14:paraId="2A81D996">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六、其他补充事宜</w:t>
      </w:r>
    </w:p>
    <w:p w14:paraId="2D5A4C47">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1.投标保证金：免收</w:t>
      </w:r>
    </w:p>
    <w:p w14:paraId="304FD7E4">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2.项目开标活动模式：见面开标模式，投标人在</w:t>
      </w:r>
      <w:r>
        <w:rPr>
          <w:rFonts w:hint="eastAsia" w:ascii="宋体" w:hAnsi="宋体" w:eastAsia="宋体" w:cs="宋体"/>
          <w:color w:val="auto"/>
          <w:sz w:val="28"/>
          <w:szCs w:val="28"/>
          <w:highlight w:val="none"/>
          <w:u w:val="single"/>
        </w:rPr>
        <w:t>崇川区崇川路58号南通产业技术研究院9号楼1楼大厅西侧A101室</w:t>
      </w:r>
      <w:r>
        <w:rPr>
          <w:rFonts w:hint="eastAsia" w:ascii="宋体" w:hAnsi="宋体" w:eastAsia="宋体" w:cs="宋体"/>
          <w:color w:val="auto"/>
          <w:sz w:val="28"/>
          <w:szCs w:val="28"/>
          <w:highlight w:val="none"/>
        </w:rPr>
        <w:t>参加开标会。</w:t>
      </w:r>
    </w:p>
    <w:p w14:paraId="2E06A3E8">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w:t>
      </w:r>
      <w:r>
        <w:rPr>
          <w:rFonts w:hint="eastAsia" w:ascii="宋体" w:hAnsi="宋体" w:eastAsia="宋体" w:cs="宋体"/>
          <w:color w:val="auto"/>
          <w:sz w:val="28"/>
          <w:szCs w:val="28"/>
          <w:highlight w:val="none"/>
          <w:lang w:val="en-US" w:eastAsia="zh-CN"/>
        </w:rPr>
        <w:t>样品</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详见招标文件</w:t>
      </w:r>
      <w:r>
        <w:rPr>
          <w:rFonts w:hint="eastAsia" w:ascii="宋体" w:hAnsi="宋体" w:eastAsia="宋体" w:cs="宋体"/>
          <w:color w:val="auto"/>
          <w:sz w:val="28"/>
          <w:szCs w:val="28"/>
          <w:highlight w:val="none"/>
        </w:rPr>
        <w:t>。</w:t>
      </w:r>
    </w:p>
    <w:p w14:paraId="0A38275D">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4.对项目需求部分（投标人资格要求、项目需求、商务技术评分标准）的询问、质疑请向招标人提出，由招标人负责答复；对项目招标文件其他部分的询问请向代理机构经办人提出。</w:t>
      </w:r>
    </w:p>
    <w:p w14:paraId="50C928A2">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标人应依照规定提交各类声明函、承诺函，不再同时提供原件备查或提供有关部门出具的相关证明文件。但投标人应做好提交声明函、承诺函、认证、业绩等相应原件的核查准备；核查后发现虚假或违背承诺的，依照相关法律法规的规定处理。</w:t>
      </w:r>
    </w:p>
    <w:p w14:paraId="5C4F3A12">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七、对本次招标提出询问，请按以下方式联系</w:t>
      </w:r>
    </w:p>
    <w:p w14:paraId="0A3EC4D9">
      <w:pPr>
        <w:widowControl/>
        <w:shd w:val="clear" w:color="auto" w:fill="FFFFFF"/>
        <w:adjustRightInd w:val="0"/>
        <w:snapToGrid w:val="0"/>
        <w:spacing w:line="520" w:lineRule="exact"/>
        <w:ind w:firstLine="560" w:firstLineChars="200"/>
        <w:jc w:val="left"/>
        <w:outlineLvl w:val="2"/>
        <w:rPr>
          <w:color w:val="auto"/>
          <w:sz w:val="28"/>
          <w:szCs w:val="28"/>
          <w:highlight w:val="none"/>
        </w:rPr>
      </w:pPr>
      <w:r>
        <w:rPr>
          <w:color w:val="auto"/>
          <w:sz w:val="28"/>
          <w:szCs w:val="28"/>
          <w:highlight w:val="none"/>
        </w:rPr>
        <w:t>1.招标人信息</w:t>
      </w:r>
    </w:p>
    <w:p w14:paraId="251271B4">
      <w:pPr>
        <w:widowControl/>
        <w:shd w:val="clear" w:color="auto" w:fill="FFFFFF"/>
        <w:adjustRightInd w:val="0"/>
        <w:snapToGrid w:val="0"/>
        <w:spacing w:line="520" w:lineRule="exact"/>
        <w:ind w:firstLine="560" w:firstLineChars="200"/>
        <w:jc w:val="left"/>
        <w:rPr>
          <w:color w:val="auto"/>
          <w:sz w:val="28"/>
          <w:szCs w:val="28"/>
          <w:highlight w:val="none"/>
        </w:rPr>
      </w:pPr>
      <w:bookmarkStart w:id="3" w:name="_Toc35393638"/>
      <w:bookmarkStart w:id="4" w:name="_Toc28359020"/>
      <w:bookmarkStart w:id="5" w:name="_Toc35393807"/>
      <w:bookmarkStart w:id="6" w:name="_Toc28359097"/>
      <w:r>
        <w:rPr>
          <w:color w:val="auto"/>
          <w:sz w:val="28"/>
          <w:szCs w:val="28"/>
          <w:highlight w:val="none"/>
        </w:rPr>
        <w:t>名称：</w:t>
      </w:r>
      <w:r>
        <w:rPr>
          <w:rFonts w:hint="eastAsia"/>
          <w:color w:val="auto"/>
          <w:sz w:val="28"/>
          <w:szCs w:val="28"/>
          <w:highlight w:val="none"/>
          <w:lang w:eastAsia="zh-CN"/>
        </w:rPr>
        <w:t xml:space="preserve">南通市农业农村局 </w:t>
      </w:r>
      <w:r>
        <w:rPr>
          <w:color w:val="auto"/>
          <w:sz w:val="28"/>
          <w:szCs w:val="28"/>
          <w:highlight w:val="none"/>
        </w:rPr>
        <w:t>　　　　　　　　　　　　</w:t>
      </w:r>
    </w:p>
    <w:p w14:paraId="4FA0DB0F">
      <w:pPr>
        <w:adjustRightInd w:val="0"/>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地址：南通市姚港路46号</w:t>
      </w:r>
    </w:p>
    <w:p w14:paraId="4F67ED42">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联系人：夏沛霖</w:t>
      </w:r>
    </w:p>
    <w:p w14:paraId="5E6565FC">
      <w:pPr>
        <w:adjustRightInd w:val="0"/>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联系方式：13773762699，59002089</w:t>
      </w:r>
    </w:p>
    <w:p w14:paraId="448F16C3">
      <w:pPr>
        <w:widowControl/>
        <w:shd w:val="clear" w:color="auto" w:fill="FFFFFF"/>
        <w:adjustRightInd w:val="0"/>
        <w:snapToGrid w:val="0"/>
        <w:spacing w:line="520" w:lineRule="exact"/>
        <w:ind w:firstLine="560" w:firstLineChars="200"/>
        <w:jc w:val="left"/>
        <w:outlineLvl w:val="2"/>
        <w:rPr>
          <w:color w:val="auto"/>
          <w:sz w:val="28"/>
          <w:szCs w:val="28"/>
          <w:highlight w:val="none"/>
        </w:rPr>
      </w:pPr>
      <w:r>
        <w:rPr>
          <w:color w:val="auto"/>
          <w:sz w:val="28"/>
          <w:szCs w:val="28"/>
          <w:highlight w:val="none"/>
        </w:rPr>
        <w:t>2.招标代理机构信息</w:t>
      </w:r>
      <w:bookmarkEnd w:id="3"/>
      <w:bookmarkEnd w:id="4"/>
      <w:bookmarkEnd w:id="5"/>
      <w:bookmarkEnd w:id="6"/>
    </w:p>
    <w:p w14:paraId="40690F68">
      <w:pPr>
        <w:widowControl/>
        <w:shd w:val="clear" w:color="auto" w:fill="FFFFFF"/>
        <w:adjustRightInd w:val="0"/>
        <w:snapToGrid w:val="0"/>
        <w:spacing w:line="520" w:lineRule="exact"/>
        <w:ind w:firstLine="560" w:firstLineChars="200"/>
        <w:jc w:val="left"/>
        <w:rPr>
          <w:color w:val="auto"/>
          <w:sz w:val="28"/>
          <w:szCs w:val="28"/>
          <w:highlight w:val="none"/>
        </w:rPr>
      </w:pPr>
      <w:r>
        <w:rPr>
          <w:color w:val="auto"/>
          <w:sz w:val="28"/>
          <w:szCs w:val="28"/>
          <w:highlight w:val="none"/>
        </w:rPr>
        <w:t>名称：江苏中润工程建设咨询有限公司</w:t>
      </w:r>
    </w:p>
    <w:p w14:paraId="1980D716">
      <w:pPr>
        <w:widowControl/>
        <w:shd w:val="clear" w:color="auto" w:fill="FFFFFF"/>
        <w:adjustRightInd w:val="0"/>
        <w:snapToGrid w:val="0"/>
        <w:spacing w:line="520" w:lineRule="exact"/>
        <w:ind w:firstLine="560" w:firstLineChars="200"/>
        <w:jc w:val="left"/>
        <w:rPr>
          <w:color w:val="auto"/>
          <w:sz w:val="28"/>
          <w:szCs w:val="28"/>
          <w:highlight w:val="none"/>
        </w:rPr>
      </w:pPr>
      <w:r>
        <w:rPr>
          <w:color w:val="auto"/>
          <w:sz w:val="28"/>
          <w:szCs w:val="28"/>
          <w:highlight w:val="none"/>
        </w:rPr>
        <w:t>地址：南通市崇川路58号南通产业技术研究院9号楼1004室</w:t>
      </w:r>
    </w:p>
    <w:p w14:paraId="6ABD4093">
      <w:pPr>
        <w:shd w:val="clear" w:color="auto" w:fill="FFFFFF"/>
        <w:spacing w:line="460" w:lineRule="exact"/>
        <w:ind w:firstLine="560" w:firstLineChars="200"/>
        <w:rPr>
          <w:rFonts w:hint="eastAsia" w:ascii="宋体" w:hAnsi="宋体" w:eastAsia="宋体" w:cs="宋体"/>
          <w:color w:val="auto"/>
          <w:spacing w:val="7"/>
          <w:sz w:val="28"/>
          <w:szCs w:val="28"/>
          <w:highlight w:val="none"/>
        </w:rPr>
      </w:pPr>
      <w:r>
        <w:rPr>
          <w:color w:val="auto"/>
          <w:sz w:val="28"/>
          <w:szCs w:val="28"/>
          <w:highlight w:val="none"/>
        </w:rPr>
        <w:t>项目负责人：肖俊菁 0513-55887688  18106299008</w:t>
      </w:r>
      <w:r>
        <w:rPr>
          <w:rFonts w:hint="eastAsia" w:ascii="宋体" w:hAnsi="宋体" w:eastAsia="宋体" w:cs="宋体"/>
          <w:color w:val="auto"/>
          <w:sz w:val="28"/>
          <w:szCs w:val="28"/>
          <w:highlight w:val="none"/>
        </w:rPr>
        <w:t xml:space="preserve">  </w:t>
      </w:r>
    </w:p>
    <w:p w14:paraId="4ABD4E45">
      <w:pPr>
        <w:keepNext w:val="0"/>
        <w:keepLines w:val="0"/>
        <w:pageBreakBefore w:val="0"/>
        <w:widowControl w:val="0"/>
        <w:kinsoku/>
        <w:wordWrap/>
        <w:overflowPunct/>
        <w:topLinePunct w:val="0"/>
        <w:bidi w:val="0"/>
        <w:snapToGrid w:val="0"/>
        <w:spacing w:line="460" w:lineRule="exact"/>
        <w:ind w:firstLine="562" w:firstLineChars="200"/>
        <w:jc w:val="left"/>
        <w:textAlignment w:val="auto"/>
        <w:rPr>
          <w:rFonts w:hint="eastAsia" w:ascii="宋体" w:hAnsi="宋体" w:eastAsia="宋体" w:cs="宋体"/>
          <w:b/>
          <w:color w:val="auto"/>
          <w:sz w:val="36"/>
          <w:szCs w:val="36"/>
          <w:highlight w:val="none"/>
        </w:rPr>
      </w:pPr>
      <w:r>
        <w:rPr>
          <w:rFonts w:hint="eastAsia" w:ascii="宋体" w:hAnsi="宋体" w:eastAsia="宋体" w:cs="宋体"/>
          <w:b/>
          <w:bCs/>
          <w:color w:val="auto"/>
          <w:sz w:val="28"/>
          <w:szCs w:val="28"/>
          <w:highlight w:val="none"/>
          <w:lang w:val="en-US" w:eastAsia="zh-CN"/>
        </w:rPr>
        <w:t>采购文件获取联系方式：</w:t>
      </w:r>
      <w:r>
        <w:rPr>
          <w:rFonts w:hint="eastAsia" w:ascii="宋体" w:hAnsi="宋体" w:eastAsia="宋体" w:cs="宋体"/>
          <w:b/>
          <w:bCs/>
          <w:color w:val="auto"/>
          <w:sz w:val="28"/>
          <w:szCs w:val="28"/>
          <w:highlight w:val="none"/>
        </w:rPr>
        <w:t>15006287999</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微信同号</w:t>
      </w:r>
      <w:r>
        <w:rPr>
          <w:rFonts w:hint="eastAsia" w:ascii="宋体" w:hAnsi="宋体" w:eastAsia="宋体" w:cs="宋体"/>
          <w:b/>
          <w:bCs/>
          <w:color w:val="auto"/>
          <w:sz w:val="28"/>
          <w:szCs w:val="28"/>
          <w:highlight w:val="none"/>
          <w:lang w:eastAsia="zh-CN"/>
        </w:rPr>
        <w:t>）</w:t>
      </w:r>
    </w:p>
    <w:bookmarkEnd w:id="113"/>
    <w:p w14:paraId="7527BBBD">
      <w:pPr>
        <w:jc w:val="center"/>
        <w:rPr>
          <w:rFonts w:hint="eastAsia" w:ascii="宋体" w:hAnsi="宋体" w:eastAsia="宋体" w:cs="宋体"/>
          <w:b/>
          <w:color w:val="auto"/>
          <w:sz w:val="36"/>
          <w:szCs w:val="36"/>
          <w:highlight w:val="none"/>
        </w:rPr>
      </w:pPr>
    </w:p>
    <w:p w14:paraId="3235DD84">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7A384B16">
      <w:pPr>
        <w:jc w:val="center"/>
        <w:rPr>
          <w:rFonts w:hint="eastAsia" w:ascii="宋体" w:hAnsi="宋体" w:eastAsia="宋体" w:cs="宋体"/>
          <w:bCs/>
          <w:color w:val="auto"/>
          <w:sz w:val="36"/>
          <w:szCs w:val="36"/>
          <w:highlight w:val="none"/>
        </w:rPr>
      </w:pPr>
      <w:r>
        <w:rPr>
          <w:rFonts w:hint="eastAsia" w:ascii="宋体" w:hAnsi="宋体" w:eastAsia="宋体" w:cs="宋体"/>
          <w:b/>
          <w:color w:val="auto"/>
          <w:sz w:val="36"/>
          <w:szCs w:val="36"/>
          <w:highlight w:val="none"/>
        </w:rPr>
        <w:t>第二部分  投标须知</w:t>
      </w:r>
    </w:p>
    <w:p w14:paraId="3C2B4A06">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宋体" w:hAnsi="宋体" w:eastAsia="宋体" w:cs="宋体"/>
          <w:color w:val="auto"/>
          <w:sz w:val="28"/>
          <w:szCs w:val="28"/>
          <w:highlight w:val="none"/>
        </w:rPr>
      </w:pPr>
      <w:bookmarkStart w:id="7" w:name="_Toc20823275"/>
      <w:bookmarkStart w:id="8" w:name="_Toc16938519"/>
      <w:bookmarkStart w:id="9" w:name="_Toc513029203"/>
      <w:bookmarkStart w:id="10" w:name="_Toc120614214"/>
      <w:r>
        <w:rPr>
          <w:rFonts w:hint="eastAsia" w:ascii="宋体" w:hAnsi="宋体" w:eastAsia="宋体" w:cs="宋体"/>
          <w:color w:val="auto"/>
          <w:sz w:val="28"/>
          <w:szCs w:val="28"/>
          <w:highlight w:val="none"/>
        </w:rPr>
        <w:t>一、总则</w:t>
      </w:r>
      <w:bookmarkEnd w:id="7"/>
      <w:bookmarkEnd w:id="8"/>
      <w:bookmarkEnd w:id="9"/>
      <w:bookmarkEnd w:id="10"/>
    </w:p>
    <w:p w14:paraId="699331EF">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11" w:name="_Hlt16619475"/>
      <w:bookmarkEnd w:id="11"/>
      <w:bookmarkStart w:id="12" w:name="_Toc458694821"/>
      <w:bookmarkStart w:id="13" w:name="_Toc513029204"/>
      <w:bookmarkStart w:id="14" w:name="_Toc20823276"/>
      <w:bookmarkStart w:id="15" w:name="_Toc16938520"/>
      <w:r>
        <w:rPr>
          <w:rFonts w:hint="eastAsia" w:ascii="宋体" w:hAnsi="宋体" w:eastAsia="宋体" w:cs="宋体"/>
          <w:color w:val="auto"/>
          <w:sz w:val="28"/>
          <w:szCs w:val="28"/>
          <w:highlight w:val="none"/>
        </w:rPr>
        <w:t>1</w:t>
      </w:r>
      <w:bookmarkEnd w:id="12"/>
      <w:r>
        <w:rPr>
          <w:rFonts w:hint="eastAsia" w:ascii="宋体" w:hAnsi="宋体" w:eastAsia="宋体" w:cs="宋体"/>
          <w:color w:val="auto"/>
          <w:sz w:val="28"/>
          <w:szCs w:val="28"/>
          <w:highlight w:val="none"/>
        </w:rPr>
        <w:t>.招标方式</w:t>
      </w:r>
      <w:bookmarkEnd w:id="13"/>
      <w:bookmarkEnd w:id="14"/>
      <w:bookmarkEnd w:id="15"/>
    </w:p>
    <w:p w14:paraId="738780CD">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本次招标采取公开招标方式，本招标文件仅适用于招标公告中所述项目。</w:t>
      </w:r>
    </w:p>
    <w:p w14:paraId="246000FF">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color w:val="auto"/>
          <w:sz w:val="28"/>
          <w:szCs w:val="28"/>
          <w:highlight w:val="none"/>
          <w:lang w:val="en-US" w:eastAsia="zh-CN"/>
        </w:rPr>
      </w:pPr>
      <w:bookmarkStart w:id="16" w:name="_Toc16938521"/>
      <w:bookmarkStart w:id="17" w:name="_Toc20823277"/>
      <w:bookmarkStart w:id="18" w:name="_Toc513029205"/>
      <w:r>
        <w:rPr>
          <w:rFonts w:hint="eastAsia" w:ascii="宋体" w:hAnsi="宋体" w:eastAsia="宋体" w:cs="宋体"/>
          <w:color w:val="auto"/>
          <w:sz w:val="28"/>
          <w:szCs w:val="28"/>
          <w:highlight w:val="none"/>
          <w:lang w:val="en-US" w:eastAsia="zh-CN"/>
        </w:rPr>
        <w:t>1.2 本项目为招标单位自行采购项目，按照招标单位采购招标管理规定实施。</w:t>
      </w:r>
    </w:p>
    <w:p w14:paraId="3FE6B9C1">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2.合格的投标人</w:t>
      </w:r>
      <w:bookmarkEnd w:id="16"/>
      <w:bookmarkEnd w:id="17"/>
      <w:bookmarkEnd w:id="18"/>
    </w:p>
    <w:p w14:paraId="7EF43A7B">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2.1满足招标公告中投标人的资格要求的规定。</w:t>
      </w:r>
    </w:p>
    <w:p w14:paraId="62AC245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5781DA5C">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19" w:name="_Toc20823278"/>
      <w:bookmarkStart w:id="20" w:name="_Toc513029206"/>
      <w:bookmarkStart w:id="21" w:name="_Toc16938522"/>
      <w:r>
        <w:rPr>
          <w:rFonts w:hint="eastAsia" w:ascii="宋体" w:hAnsi="宋体" w:eastAsia="宋体" w:cs="宋体"/>
          <w:color w:val="auto"/>
          <w:sz w:val="28"/>
          <w:szCs w:val="28"/>
          <w:highlight w:val="none"/>
        </w:rPr>
        <w:t>3.适用法律</w:t>
      </w:r>
      <w:bookmarkEnd w:id="19"/>
      <w:bookmarkEnd w:id="20"/>
      <w:bookmarkEnd w:id="21"/>
    </w:p>
    <w:p w14:paraId="3811FBE2">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3.1本次招标及由此产生的合同受中华人民共和国有关的法律法规制约和保护。</w:t>
      </w:r>
    </w:p>
    <w:p w14:paraId="7AB27C41">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22" w:name="_Toc20823279"/>
      <w:bookmarkStart w:id="23" w:name="_Toc16938523"/>
      <w:bookmarkStart w:id="24" w:name="_Toc462564067"/>
      <w:bookmarkStart w:id="25" w:name="_Toc513029207"/>
      <w:r>
        <w:rPr>
          <w:rFonts w:hint="eastAsia" w:ascii="宋体" w:hAnsi="宋体" w:eastAsia="宋体" w:cs="宋体"/>
          <w:color w:val="auto"/>
          <w:sz w:val="28"/>
          <w:szCs w:val="28"/>
          <w:highlight w:val="none"/>
        </w:rPr>
        <w:t>4.投标费用</w:t>
      </w:r>
      <w:bookmarkEnd w:id="22"/>
      <w:bookmarkEnd w:id="23"/>
      <w:bookmarkEnd w:id="24"/>
      <w:bookmarkEnd w:id="25"/>
    </w:p>
    <w:p w14:paraId="12CE2C1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供应商应自行承担所有与参与投标有关的费用，无论投标过程中的做法和结果如何，</w:t>
      </w:r>
      <w:r>
        <w:rPr>
          <w:rFonts w:hint="eastAsia" w:ascii="宋体" w:hAnsi="宋体" w:eastAsia="宋体" w:cs="宋体"/>
          <w:color w:val="auto"/>
          <w:sz w:val="28"/>
          <w:szCs w:val="28"/>
          <w:highlight w:val="none"/>
          <w:lang w:eastAsia="zh-CN"/>
        </w:rPr>
        <w:t>江苏中润工程建设咨询有限公司</w:t>
      </w:r>
      <w:r>
        <w:rPr>
          <w:rFonts w:hint="eastAsia" w:ascii="宋体" w:hAnsi="宋体" w:eastAsia="宋体" w:cs="宋体"/>
          <w:color w:val="auto"/>
          <w:sz w:val="28"/>
          <w:szCs w:val="28"/>
          <w:highlight w:val="none"/>
        </w:rPr>
        <w:t>（以下简称招标代理机构）在任何情况下均无义务和责任承担这些费用。</w:t>
      </w:r>
    </w:p>
    <w:p w14:paraId="2EE49244">
      <w:pPr>
        <w:keepNext/>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4.1本项目资料费300元/份，在获取文件时支付给代理机构，无论是否中标，该费用不予退还。</w:t>
      </w:r>
    </w:p>
    <w:p w14:paraId="6A2479A2">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4.2</w:t>
      </w:r>
      <w:r>
        <w:rPr>
          <w:rFonts w:hint="eastAsia" w:ascii="宋体" w:hAnsi="宋体" w:cs="宋体"/>
          <w:color w:val="auto"/>
          <w:sz w:val="28"/>
          <w:szCs w:val="28"/>
          <w:highlight w:val="none"/>
        </w:rPr>
        <w:t>本项目</w:t>
      </w:r>
      <w:r>
        <w:rPr>
          <w:rFonts w:hint="eastAsia" w:ascii="宋体" w:hAnsi="宋体" w:cs="宋体"/>
          <w:color w:val="auto"/>
          <w:sz w:val="28"/>
          <w:szCs w:val="28"/>
          <w:highlight w:val="none"/>
          <w:lang w:val="en-US" w:eastAsia="zh-CN"/>
        </w:rPr>
        <w:t>招标</w:t>
      </w:r>
      <w:r>
        <w:rPr>
          <w:rFonts w:hint="eastAsia" w:ascii="宋体" w:hAnsi="宋体" w:cs="宋体"/>
          <w:color w:val="auto"/>
          <w:sz w:val="28"/>
          <w:szCs w:val="28"/>
          <w:highlight w:val="none"/>
        </w:rPr>
        <w:t>代理服务费按按照江苏省政府采购协会苏政采[2024]20号文标准</w:t>
      </w:r>
      <w:r>
        <w:rPr>
          <w:rFonts w:hint="eastAsia" w:ascii="宋体" w:hAnsi="宋体" w:cs="宋体"/>
          <w:color w:val="auto"/>
          <w:sz w:val="28"/>
          <w:szCs w:val="28"/>
          <w:highlight w:val="none"/>
          <w:lang w:val="en-US" w:eastAsia="zh-CN"/>
        </w:rPr>
        <w:t>计收</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由中标人</w:t>
      </w:r>
      <w:r>
        <w:rPr>
          <w:rFonts w:hint="eastAsia" w:ascii="宋体" w:hAnsi="宋体" w:cs="宋体"/>
          <w:color w:val="auto"/>
          <w:sz w:val="28"/>
          <w:szCs w:val="28"/>
          <w:highlight w:val="none"/>
        </w:rPr>
        <w:t>承担。</w:t>
      </w:r>
      <w:r>
        <w:rPr>
          <w:rFonts w:hint="eastAsia" w:ascii="宋体" w:hAnsi="宋体" w:cs="宋体"/>
          <w:color w:val="auto"/>
          <w:sz w:val="28"/>
          <w:szCs w:val="28"/>
          <w:highlight w:val="none"/>
          <w:lang w:val="en-US" w:eastAsia="zh-CN"/>
        </w:rPr>
        <w:t>投标人</w:t>
      </w:r>
      <w:r>
        <w:rPr>
          <w:rFonts w:hint="eastAsia" w:ascii="宋体" w:hAnsi="宋体" w:cs="宋体"/>
          <w:color w:val="auto"/>
          <w:sz w:val="28"/>
          <w:szCs w:val="28"/>
          <w:highlight w:val="none"/>
        </w:rPr>
        <w:t>在报价时应综合考虑（不单列）。</w:t>
      </w:r>
    </w:p>
    <w:p w14:paraId="23448530">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5.招标文件的约束力</w:t>
      </w:r>
    </w:p>
    <w:p w14:paraId="6F91C21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5.1</w:t>
      </w:r>
      <w:r>
        <w:rPr>
          <w:rFonts w:hint="eastAsia" w:ascii="宋体" w:hAnsi="宋体" w:eastAsia="宋体" w:cs="宋体"/>
          <w:color w:val="auto"/>
          <w:sz w:val="28"/>
          <w:szCs w:val="28"/>
          <w:highlight w:val="none"/>
        </w:rPr>
        <w:t xml:space="preserve"> 投标人一旦参加本项目采购活动，即被认为接受了本招标文件的规定和约束。</w:t>
      </w:r>
    </w:p>
    <w:p w14:paraId="510DB49F">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6.招标文件的解释</w:t>
      </w:r>
    </w:p>
    <w:p w14:paraId="19C52D97">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6.1</w:t>
      </w:r>
      <w:r>
        <w:rPr>
          <w:rFonts w:hint="eastAsia" w:ascii="宋体" w:hAnsi="宋体" w:eastAsia="宋体" w:cs="宋体"/>
          <w:color w:val="auto"/>
          <w:sz w:val="28"/>
          <w:szCs w:val="28"/>
          <w:highlight w:val="none"/>
        </w:rPr>
        <w:t>招标文件需求部分（投标人资格要求、项目需求、商务技术评分标准）由招标人解释，其他部分由代理机构解释。</w:t>
      </w:r>
    </w:p>
    <w:p w14:paraId="34CEF9D8">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宋体" w:hAnsi="宋体" w:eastAsia="宋体" w:cs="宋体"/>
          <w:color w:val="auto"/>
          <w:sz w:val="28"/>
          <w:szCs w:val="28"/>
          <w:highlight w:val="none"/>
        </w:rPr>
      </w:pPr>
      <w:bookmarkStart w:id="26" w:name="_Toc16938525"/>
      <w:bookmarkStart w:id="27" w:name="_Toc513029209"/>
      <w:bookmarkStart w:id="28" w:name="_Toc20823281"/>
      <w:bookmarkStart w:id="29" w:name="_Toc120614215"/>
      <w:r>
        <w:rPr>
          <w:rFonts w:hint="eastAsia" w:ascii="宋体" w:hAnsi="宋体" w:eastAsia="宋体" w:cs="宋体"/>
          <w:color w:val="auto"/>
          <w:sz w:val="28"/>
          <w:szCs w:val="28"/>
          <w:highlight w:val="none"/>
        </w:rPr>
        <w:t>二、招标文件</w:t>
      </w:r>
      <w:bookmarkEnd w:id="26"/>
      <w:bookmarkEnd w:id="27"/>
      <w:bookmarkEnd w:id="28"/>
      <w:bookmarkEnd w:id="29"/>
    </w:p>
    <w:p w14:paraId="42020289">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30" w:name="_Toc20823282"/>
      <w:bookmarkStart w:id="31" w:name="_Toc513029210"/>
      <w:bookmarkStart w:id="32" w:name="_Toc16938526"/>
      <w:r>
        <w:rPr>
          <w:rFonts w:hint="eastAsia" w:ascii="宋体" w:hAnsi="宋体" w:eastAsia="宋体" w:cs="宋体"/>
          <w:color w:val="auto"/>
          <w:sz w:val="28"/>
          <w:szCs w:val="28"/>
          <w:highlight w:val="none"/>
        </w:rPr>
        <w:t>1.招标文件构成</w:t>
      </w:r>
      <w:bookmarkEnd w:id="30"/>
      <w:bookmarkEnd w:id="31"/>
      <w:bookmarkEnd w:id="32"/>
    </w:p>
    <w:p w14:paraId="3AD8E62D">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w:t>
      </w:r>
      <w:r>
        <w:rPr>
          <w:rFonts w:hint="eastAsia" w:ascii="宋体" w:hAnsi="宋体" w:eastAsia="宋体" w:cs="宋体"/>
          <w:color w:val="auto"/>
          <w:sz w:val="28"/>
          <w:szCs w:val="28"/>
          <w:highlight w:val="none"/>
        </w:rPr>
        <w:t xml:space="preserve"> 招标文件由以下部分组成：</w:t>
      </w:r>
    </w:p>
    <w:p w14:paraId="2C093A17">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（1）招标邀请</w:t>
      </w:r>
    </w:p>
    <w:p w14:paraId="6E81F17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（2）投标须知</w:t>
      </w:r>
    </w:p>
    <w:p w14:paraId="048C023B">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6380933E">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（4）开标和评标</w:t>
      </w:r>
    </w:p>
    <w:p w14:paraId="693CA4D1">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（5）投标文件组成</w:t>
      </w:r>
    </w:p>
    <w:p w14:paraId="63A70741">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（6）附件（如有）</w:t>
      </w:r>
    </w:p>
    <w:p w14:paraId="39EC5B54">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请仔细检查招标文件是否齐全，如有缺漏请立即与代理机构联系解决。</w:t>
      </w:r>
    </w:p>
    <w:p w14:paraId="713A4BFE">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9504BAB">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33" w:name="_Toc513029211"/>
      <w:bookmarkStart w:id="34" w:name="_Toc16938527"/>
      <w:bookmarkStart w:id="35" w:name="_Toc462564070"/>
      <w:bookmarkStart w:id="36" w:name="_Toc20823283"/>
      <w:r>
        <w:rPr>
          <w:rFonts w:hint="eastAsia" w:ascii="宋体" w:hAnsi="宋体" w:eastAsia="宋体" w:cs="宋体"/>
          <w:color w:val="auto"/>
          <w:sz w:val="28"/>
          <w:szCs w:val="28"/>
          <w:highlight w:val="none"/>
        </w:rPr>
        <w:t>2.招标文件的澄清</w:t>
      </w:r>
      <w:bookmarkEnd w:id="33"/>
      <w:bookmarkEnd w:id="34"/>
      <w:bookmarkEnd w:id="35"/>
      <w:bookmarkEnd w:id="36"/>
    </w:p>
    <w:p w14:paraId="303A594F">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2.1</w:t>
      </w:r>
      <w:r>
        <w:rPr>
          <w:rFonts w:hint="eastAsia" w:ascii="宋体" w:hAnsi="宋体" w:eastAsia="宋体" w:cs="宋体"/>
          <w:color w:val="auto"/>
          <w:sz w:val="28"/>
          <w:szCs w:val="28"/>
          <w:highlight w:val="none"/>
        </w:rPr>
        <w:t xml:space="preserve"> 任何要求对招标文件进行澄清的投标人，应在投标截止期十日前按招标公告中的通讯地址，以书面形式通知招标人。招标人有权对发出的招标文件进行必要的澄清或修改</w:t>
      </w:r>
    </w:p>
    <w:p w14:paraId="60A2A4CF">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2.2招标人视情组织答疑会</w:t>
      </w:r>
    </w:p>
    <w:p w14:paraId="20F640CD">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37" w:name="_Toc513029212"/>
      <w:bookmarkStart w:id="38" w:name="_Toc16938528"/>
      <w:bookmarkStart w:id="39" w:name="_Toc20823284"/>
      <w:bookmarkStart w:id="40" w:name="_Toc462564071"/>
      <w:r>
        <w:rPr>
          <w:rFonts w:hint="eastAsia" w:ascii="宋体" w:hAnsi="宋体" w:eastAsia="宋体" w:cs="宋体"/>
          <w:color w:val="auto"/>
          <w:sz w:val="28"/>
          <w:szCs w:val="28"/>
          <w:highlight w:val="none"/>
        </w:rPr>
        <w:t>3.招标文件的修改</w:t>
      </w:r>
      <w:bookmarkEnd w:id="37"/>
      <w:bookmarkEnd w:id="38"/>
      <w:bookmarkEnd w:id="39"/>
      <w:bookmarkEnd w:id="40"/>
    </w:p>
    <w:p w14:paraId="325AF1EE">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 xml:space="preserve"> 在投标截止时间前，代理机构可以对招标文件进行修改。</w:t>
      </w:r>
    </w:p>
    <w:p w14:paraId="078974E0">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3.2 </w:t>
      </w:r>
      <w:r>
        <w:rPr>
          <w:rFonts w:hint="eastAsia" w:ascii="宋体" w:hAnsi="宋体" w:eastAsia="宋体" w:cs="宋体"/>
          <w:color w:val="auto"/>
          <w:sz w:val="28"/>
          <w:szCs w:val="28"/>
          <w:highlight w:val="none"/>
        </w:rPr>
        <w:t>代理机构有权按照法定的要求推迟投标截止日期和开标日期。</w:t>
      </w:r>
    </w:p>
    <w:p w14:paraId="381FA02B">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3.3 </w:t>
      </w:r>
      <w:r>
        <w:rPr>
          <w:rFonts w:hint="eastAsia" w:ascii="宋体" w:hAnsi="宋体" w:eastAsia="宋体" w:cs="宋体"/>
          <w:color w:val="auto"/>
          <w:sz w:val="28"/>
          <w:szCs w:val="28"/>
          <w:highlight w:val="none"/>
        </w:rPr>
        <w:t>招标文件的修改将在</w:t>
      </w:r>
      <w:r>
        <w:rPr>
          <w:rFonts w:hint="eastAsia" w:ascii="宋体" w:hAnsi="宋体" w:cs="宋体"/>
          <w:color w:val="auto"/>
          <w:sz w:val="28"/>
          <w:szCs w:val="28"/>
          <w:highlight w:val="none"/>
          <w:lang w:eastAsia="zh-CN"/>
        </w:rPr>
        <w:t>南通市农业农村局网站</w:t>
      </w:r>
      <w:r>
        <w:rPr>
          <w:rFonts w:hint="eastAsia" w:ascii="宋体" w:hAnsi="宋体" w:eastAsia="宋体" w:cs="宋体"/>
          <w:color w:val="auto"/>
          <w:sz w:val="28"/>
          <w:szCs w:val="28"/>
          <w:highlight w:val="none"/>
        </w:rPr>
        <w:t>公布，补充文件将作为招标文件的组成部分，并对投标人具有约束力。</w:t>
      </w:r>
    </w:p>
    <w:p w14:paraId="7B067E18">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宋体" w:hAnsi="宋体" w:eastAsia="宋体" w:cs="宋体"/>
          <w:color w:val="auto"/>
          <w:sz w:val="28"/>
          <w:szCs w:val="28"/>
          <w:highlight w:val="none"/>
        </w:rPr>
      </w:pPr>
      <w:bookmarkStart w:id="41" w:name="_Toc16938529"/>
      <w:bookmarkStart w:id="42" w:name="_Toc20823285"/>
      <w:bookmarkStart w:id="43" w:name="_Toc120614216"/>
      <w:bookmarkStart w:id="44" w:name="_Toc462564072"/>
      <w:bookmarkStart w:id="45" w:name="_Toc513029213"/>
      <w:r>
        <w:rPr>
          <w:rFonts w:hint="eastAsia" w:ascii="宋体" w:hAnsi="宋体" w:eastAsia="宋体" w:cs="宋体"/>
          <w:color w:val="auto"/>
          <w:sz w:val="28"/>
          <w:szCs w:val="28"/>
          <w:highlight w:val="none"/>
        </w:rPr>
        <w:t>三、投标文件的编制</w:t>
      </w:r>
      <w:bookmarkEnd w:id="41"/>
      <w:bookmarkEnd w:id="42"/>
      <w:bookmarkEnd w:id="43"/>
      <w:bookmarkEnd w:id="44"/>
      <w:bookmarkEnd w:id="45"/>
    </w:p>
    <w:p w14:paraId="3ACDA396">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Cs/>
          <w:color w:val="auto"/>
          <w:sz w:val="28"/>
          <w:szCs w:val="28"/>
          <w:highlight w:val="none"/>
        </w:rPr>
      </w:pPr>
      <w:bookmarkStart w:id="46" w:name="_Toc20823286"/>
      <w:bookmarkStart w:id="47" w:name="_Toc462564073"/>
      <w:bookmarkStart w:id="48" w:name="_Toc16938530"/>
      <w:bookmarkStart w:id="49" w:name="_Toc513029214"/>
      <w:r>
        <w:rPr>
          <w:rFonts w:hint="eastAsia" w:ascii="宋体" w:hAnsi="宋体" w:eastAsia="宋体" w:cs="宋体"/>
          <w:color w:val="auto"/>
          <w:sz w:val="28"/>
          <w:szCs w:val="28"/>
          <w:highlight w:val="none"/>
        </w:rPr>
        <w:t>1.投标文件的语言及度量衡单位</w:t>
      </w:r>
      <w:bookmarkEnd w:id="46"/>
      <w:bookmarkEnd w:id="47"/>
      <w:bookmarkEnd w:id="48"/>
      <w:bookmarkEnd w:id="49"/>
    </w:p>
    <w:p w14:paraId="4C32F8F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w:t>
      </w:r>
      <w:r>
        <w:rPr>
          <w:rFonts w:hint="eastAsia" w:ascii="宋体" w:hAnsi="宋体" w:eastAsia="宋体" w:cs="宋体"/>
          <w:color w:val="auto"/>
          <w:sz w:val="28"/>
          <w:szCs w:val="28"/>
          <w:highlight w:val="none"/>
        </w:rPr>
        <w:t xml:space="preserve"> 投标人提交的投标文件以及投标人与代理机构就有关投标的所有来往通知、函件和文件均应使用</w:t>
      </w:r>
      <w:r>
        <w:rPr>
          <w:rFonts w:hint="eastAsia" w:ascii="宋体" w:hAnsi="宋体" w:eastAsia="宋体" w:cs="宋体"/>
          <w:bCs/>
          <w:color w:val="auto"/>
          <w:sz w:val="28"/>
          <w:szCs w:val="28"/>
          <w:highlight w:val="none"/>
        </w:rPr>
        <w:t>简体中文</w:t>
      </w:r>
      <w:r>
        <w:rPr>
          <w:rFonts w:hint="eastAsia" w:ascii="宋体" w:hAnsi="宋体" w:eastAsia="宋体" w:cs="宋体"/>
          <w:color w:val="auto"/>
          <w:sz w:val="28"/>
          <w:szCs w:val="28"/>
          <w:highlight w:val="none"/>
        </w:rPr>
        <w:t>。</w:t>
      </w:r>
    </w:p>
    <w:p w14:paraId="21AAD4D5">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 xml:space="preserve"> 除技术性能另有规定外，投标文件所使用的度量衡单位，均须采用国家法定计量单位。</w:t>
      </w:r>
    </w:p>
    <w:p w14:paraId="0A205A26">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50" w:name="_Toc16938531"/>
      <w:bookmarkStart w:id="51" w:name="_Toc20823287"/>
      <w:bookmarkStart w:id="52" w:name="_Toc513029215"/>
      <w:bookmarkStart w:id="53" w:name="_Toc462564074"/>
      <w:r>
        <w:rPr>
          <w:rFonts w:hint="eastAsia" w:ascii="宋体" w:hAnsi="宋体" w:eastAsia="宋体" w:cs="宋体"/>
          <w:color w:val="auto"/>
          <w:sz w:val="28"/>
          <w:szCs w:val="28"/>
          <w:highlight w:val="none"/>
        </w:rPr>
        <w:t>2.投标文件构成</w:t>
      </w:r>
      <w:bookmarkEnd w:id="50"/>
      <w:bookmarkEnd w:id="51"/>
      <w:bookmarkEnd w:id="52"/>
      <w:bookmarkEnd w:id="53"/>
    </w:p>
    <w:p w14:paraId="341D9861">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2.1</w:t>
      </w:r>
      <w:r>
        <w:rPr>
          <w:rFonts w:hint="eastAsia" w:ascii="宋体" w:hAnsi="宋体" w:eastAsia="宋体" w:cs="宋体"/>
          <w:color w:val="auto"/>
          <w:sz w:val="28"/>
          <w:szCs w:val="28"/>
          <w:highlight w:val="none"/>
        </w:rPr>
        <w:t xml:space="preserve"> 投标人编写的投标文件应包括资格审查文件、商务技术文件、价格文件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电子响应文件</w:t>
      </w:r>
      <w:r>
        <w:rPr>
          <w:rFonts w:hint="eastAsia" w:ascii="宋体" w:hAnsi="宋体" w:eastAsia="宋体" w:cs="宋体"/>
          <w:color w:val="auto"/>
          <w:sz w:val="28"/>
          <w:szCs w:val="28"/>
          <w:highlight w:val="none"/>
        </w:rPr>
        <w:t>。投标人按“第五部分 投标文件组成”要求编写投标文件</w:t>
      </w:r>
    </w:p>
    <w:p w14:paraId="47132842">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54" w:name="_Hlt26954838"/>
      <w:bookmarkEnd w:id="54"/>
      <w:bookmarkStart w:id="55" w:name="_Hlt26668975"/>
      <w:bookmarkEnd w:id="55"/>
      <w:bookmarkStart w:id="56" w:name="_Hlt26670360"/>
      <w:bookmarkEnd w:id="56"/>
      <w:bookmarkStart w:id="57" w:name="_Toc49090511"/>
      <w:bookmarkStart w:id="58" w:name="_Toc14577360"/>
      <w:r>
        <w:rPr>
          <w:rFonts w:hint="eastAsia" w:ascii="宋体" w:hAnsi="宋体" w:eastAsia="宋体" w:cs="宋体"/>
          <w:color w:val="auto"/>
          <w:sz w:val="28"/>
          <w:szCs w:val="28"/>
          <w:highlight w:val="none"/>
        </w:rPr>
        <w:t>3.投标有效期</w:t>
      </w:r>
      <w:bookmarkEnd w:id="57"/>
      <w:bookmarkEnd w:id="58"/>
    </w:p>
    <w:p w14:paraId="3859BA0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3.1投标有效期为代理机构规定的开标之日后</w:t>
      </w:r>
      <w:r>
        <w:rPr>
          <w:rFonts w:hint="eastAsia" w:ascii="宋体" w:hAnsi="宋体" w:eastAsia="宋体" w:cs="宋体"/>
          <w:b/>
          <w:color w:val="auto"/>
          <w:sz w:val="28"/>
          <w:szCs w:val="28"/>
          <w:highlight w:val="none"/>
          <w:u w:val="single"/>
        </w:rPr>
        <w:t>六十（60）天</w:t>
      </w:r>
      <w:r>
        <w:rPr>
          <w:rFonts w:hint="eastAsia" w:ascii="宋体" w:hAnsi="宋体" w:eastAsia="宋体" w:cs="宋体"/>
          <w:bCs/>
          <w:color w:val="auto"/>
          <w:sz w:val="28"/>
          <w:szCs w:val="28"/>
          <w:highlight w:val="none"/>
        </w:rPr>
        <w:t>。投标有效期比规定短的将被视为非响应性投标而予以拒绝。</w:t>
      </w:r>
    </w:p>
    <w:p w14:paraId="4BDD5E7F">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4.投标有效期的延长</w:t>
      </w:r>
    </w:p>
    <w:p w14:paraId="3E717A11">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eastAsia="宋体" w:cs="宋体"/>
          <w:color w:val="auto"/>
          <w:sz w:val="28"/>
          <w:szCs w:val="28"/>
          <w:highlight w:val="none"/>
        </w:rPr>
        <w:t>受投标有效期约束的所有权利与义务均延长至新的有效期</w:t>
      </w:r>
      <w:r>
        <w:rPr>
          <w:rFonts w:hint="eastAsia" w:ascii="宋体" w:hAnsi="宋体" w:eastAsia="宋体" w:cs="宋体"/>
          <w:bCs/>
          <w:color w:val="auto"/>
          <w:sz w:val="28"/>
          <w:szCs w:val="28"/>
          <w:highlight w:val="none"/>
        </w:rPr>
        <w:t>。</w:t>
      </w:r>
    </w:p>
    <w:p w14:paraId="1519C960">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5.投标人资格要求</w:t>
      </w:r>
    </w:p>
    <w:p w14:paraId="67FCF24D">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5.1投标人应具备承担本项目的资格要求。</w:t>
      </w:r>
    </w:p>
    <w:p w14:paraId="54709BA3">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宋体" w:hAnsi="宋体" w:eastAsia="宋体" w:cs="宋体"/>
          <w:color w:val="auto"/>
          <w:sz w:val="28"/>
          <w:szCs w:val="28"/>
          <w:highlight w:val="none"/>
        </w:rPr>
      </w:pPr>
      <w:bookmarkStart w:id="59" w:name="_Hlt26954739"/>
      <w:bookmarkEnd w:id="59"/>
      <w:bookmarkStart w:id="60" w:name="_Hlt26954852"/>
      <w:bookmarkEnd w:id="60"/>
      <w:bookmarkStart w:id="61" w:name="_Toc16938540"/>
      <w:bookmarkStart w:id="62" w:name="_Toc20823296"/>
      <w:bookmarkStart w:id="63" w:name="_Toc120614217"/>
      <w:bookmarkStart w:id="64" w:name="_Toc513029224"/>
      <w:r>
        <w:rPr>
          <w:rFonts w:hint="eastAsia" w:ascii="宋体" w:hAnsi="宋体" w:eastAsia="宋体" w:cs="宋体"/>
          <w:color w:val="auto"/>
          <w:sz w:val="28"/>
          <w:szCs w:val="28"/>
          <w:highlight w:val="none"/>
        </w:rPr>
        <w:t>四、投标文件的递交</w:t>
      </w:r>
      <w:bookmarkEnd w:id="61"/>
      <w:bookmarkEnd w:id="62"/>
      <w:bookmarkEnd w:id="63"/>
      <w:bookmarkEnd w:id="64"/>
    </w:p>
    <w:p w14:paraId="0E88FBA2">
      <w:pPr>
        <w:keepNext/>
        <w:pageBreakBefore w:val="0"/>
        <w:widowControl w:val="0"/>
        <w:kinsoku/>
        <w:wordWrap/>
        <w:overflowPunct/>
        <w:topLinePunct w:val="0"/>
        <w:autoSpaceDE/>
        <w:autoSpaceDN/>
        <w:bidi w:val="0"/>
        <w:adjustRightInd w:val="0"/>
        <w:snapToGrid w:val="0"/>
        <w:spacing w:line="460" w:lineRule="exact"/>
        <w:ind w:firstLine="560" w:firstLineChars="200"/>
        <w:textAlignment w:val="auto"/>
        <w:outlineLvl w:val="3"/>
        <w:rPr>
          <w:rFonts w:hint="eastAsia" w:ascii="宋体" w:hAnsi="宋体" w:eastAsia="宋体" w:cs="宋体"/>
          <w:b/>
          <w:bCs/>
          <w:color w:val="auto"/>
          <w:kern w:val="0"/>
          <w:sz w:val="28"/>
          <w:szCs w:val="28"/>
          <w:highlight w:val="none"/>
        </w:rPr>
      </w:pPr>
      <w:bookmarkStart w:id="65" w:name="_Toc462564084"/>
      <w:bookmarkStart w:id="66" w:name="_Toc16938541"/>
      <w:bookmarkStart w:id="67" w:name="_Toc20823297"/>
      <w:bookmarkStart w:id="68" w:name="_Toc513029225"/>
      <w:bookmarkStart w:id="69" w:name="_Toc513029226"/>
      <w:bookmarkStart w:id="70" w:name="_Toc16938542"/>
      <w:bookmarkStart w:id="71" w:name="_Toc20823298"/>
      <w:r>
        <w:rPr>
          <w:rFonts w:hint="eastAsia" w:ascii="宋体" w:hAnsi="宋体" w:eastAsia="宋体" w:cs="宋体"/>
          <w:color w:val="auto"/>
          <w:kern w:val="0"/>
          <w:sz w:val="28"/>
          <w:szCs w:val="28"/>
          <w:highlight w:val="none"/>
        </w:rPr>
        <w:t>1.响应文件</w:t>
      </w:r>
      <w:bookmarkEnd w:id="65"/>
      <w:bookmarkEnd w:id="66"/>
      <w:bookmarkEnd w:id="67"/>
      <w:bookmarkEnd w:id="68"/>
      <w:r>
        <w:rPr>
          <w:rFonts w:hint="eastAsia" w:ascii="宋体" w:hAnsi="宋体" w:eastAsia="宋体" w:cs="宋体"/>
          <w:color w:val="auto"/>
          <w:kern w:val="0"/>
          <w:sz w:val="28"/>
          <w:szCs w:val="28"/>
          <w:highlight w:val="none"/>
        </w:rPr>
        <w:t>的提交</w:t>
      </w:r>
    </w:p>
    <w:p w14:paraId="46D256D2">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1.1纸质响应文件三部分内容（资格审查文件、商务技术文件、价格文件）须分别单独密封，</w:t>
      </w:r>
      <w:r>
        <w:rPr>
          <w:rFonts w:hint="eastAsia" w:ascii="宋体" w:hAnsi="宋体" w:eastAsia="宋体" w:cs="宋体"/>
          <w:bCs/>
          <w:color w:val="auto"/>
          <w:sz w:val="28"/>
          <w:szCs w:val="28"/>
          <w:highlight w:val="none"/>
          <w:lang w:val="zh-CN"/>
        </w:rPr>
        <w:t>并牢</w:t>
      </w:r>
      <w:r>
        <w:rPr>
          <w:rFonts w:hint="eastAsia" w:ascii="宋体" w:hAnsi="宋体" w:eastAsia="宋体" w:cs="宋体"/>
          <w:bCs/>
          <w:color w:val="auto"/>
          <w:sz w:val="28"/>
          <w:szCs w:val="28"/>
          <w:highlight w:val="none"/>
        </w:rPr>
        <w:t>固装订成册，不得相互混淆。价格文件不得出现于其他响应文件中。</w:t>
      </w:r>
    </w:p>
    <w:p w14:paraId="42A472F5">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kern w:val="0"/>
          <w:sz w:val="28"/>
          <w:szCs w:val="28"/>
          <w:highlight w:val="none"/>
        </w:rPr>
        <w:t>纸质响应文件每一部分内容均须提供“正本一份、副本</w:t>
      </w:r>
      <w:r>
        <w:rPr>
          <w:rFonts w:hint="eastAsia" w:ascii="宋体" w:hAnsi="宋体" w:eastAsia="宋体" w:cs="宋体"/>
          <w:color w:val="auto"/>
          <w:kern w:val="0"/>
          <w:sz w:val="28"/>
          <w:szCs w:val="28"/>
          <w:highlight w:val="none"/>
          <w:lang w:val="en-US" w:eastAsia="zh-CN"/>
        </w:rPr>
        <w:t>一</w:t>
      </w:r>
      <w:r>
        <w:rPr>
          <w:rFonts w:hint="eastAsia" w:ascii="宋体" w:hAnsi="宋体" w:eastAsia="宋体" w:cs="宋体"/>
          <w:color w:val="auto"/>
          <w:kern w:val="0"/>
          <w:sz w:val="28"/>
          <w:szCs w:val="28"/>
          <w:highlight w:val="none"/>
        </w:rPr>
        <w:t>份”纸质响应文件，并将每一部分内容的正本、副本及图纸类等（如需提供图纸等其他资料的话）合并密封，分别装在三个密封袋或密封箱内（如有A3大小的图纸类，可单独密封），密封完好以不泄露投标文件内容为主要判断依据（是否严格按照采购文件装袋提交不作为无效标判定依据）。</w:t>
      </w:r>
    </w:p>
    <w:p w14:paraId="4A5A8792">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1.3纸质响应文件须</w:t>
      </w:r>
      <w:r>
        <w:rPr>
          <w:rFonts w:hint="eastAsia" w:ascii="宋体" w:hAnsi="宋体" w:eastAsia="宋体" w:cs="宋体"/>
          <w:bCs/>
          <w:color w:val="auto"/>
          <w:sz w:val="28"/>
          <w:szCs w:val="28"/>
          <w:highlight w:val="none"/>
          <w:lang w:val="zh-CN"/>
        </w:rPr>
        <w:t>采用A4纸（</w:t>
      </w:r>
      <w:r>
        <w:rPr>
          <w:rFonts w:hint="eastAsia" w:ascii="宋体" w:hAnsi="宋体" w:eastAsia="宋体" w:cs="宋体"/>
          <w:bCs/>
          <w:color w:val="auto"/>
          <w:sz w:val="28"/>
          <w:szCs w:val="28"/>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14:paraId="6122F09C">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1.4.电子投标文件（一份，单独密封提交）</w:t>
      </w:r>
    </w:p>
    <w:p w14:paraId="389D415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项目要求提供电子响应文件一份，电子响应文件的内容为资格审查文件、商务技术文件、价格文件打印盖章（或电子签章）后的响应文件的扫描件（资格审查文件、商务技术文件、价格文件需分别逐页连续扫描为三个独立的PDF文件），可以采取U盘、电子光盘两种方式中任意一种方式提交，需单独密封提交。</w:t>
      </w:r>
    </w:p>
    <w:p w14:paraId="15131AF7">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kern w:val="0"/>
          <w:sz w:val="28"/>
          <w:szCs w:val="28"/>
          <w:highlight w:val="none"/>
        </w:rPr>
        <w:t>电子响应文件内容应与提交的纸质响应文件内容一致。否则，由此产生的后果投标人自负。</w:t>
      </w:r>
    </w:p>
    <w:p w14:paraId="32E44B9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招标</w:t>
      </w:r>
      <w:r>
        <w:rPr>
          <w:rFonts w:hint="eastAsia" w:ascii="宋体" w:hAnsi="宋体" w:eastAsia="宋体" w:cs="宋体"/>
          <w:bCs/>
          <w:color w:val="auto"/>
          <w:sz w:val="28"/>
          <w:szCs w:val="28"/>
          <w:highlight w:val="none"/>
        </w:rPr>
        <w:t>人、代理机构对投标（响应）文件的格式、形式要求，结合财政部《关于促进政府采购公平竞争优化营商环境的通知》（财库〔2019〕38 号）相关规定实施。</w:t>
      </w:r>
    </w:p>
    <w:p w14:paraId="0638573C">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递交时间：</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须在规定的响应文件接收截止时间前送达指定地点。</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提交投标文件，即视为已响应参加采购活动。</w:t>
      </w:r>
    </w:p>
    <w:p w14:paraId="6262675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友情提醒：代理机构将拒绝接收在响应文件接收截止时间后递交的响应文件。</w:t>
      </w:r>
    </w:p>
    <w:p w14:paraId="3C9FDBCE">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2.投标截止日期</w:t>
      </w:r>
      <w:bookmarkEnd w:id="69"/>
      <w:bookmarkEnd w:id="70"/>
      <w:bookmarkEnd w:id="71"/>
    </w:p>
    <w:p w14:paraId="10D47962">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2.1 </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提交响应文件的时间不得迟于招标公告中规定的响应文件提交截止时间。</w:t>
      </w:r>
    </w:p>
    <w:p w14:paraId="70DF08FD">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应充分考虑到交通路况、停车等风险因素，如因</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自身原因造成的投标响应文件提交不成功由</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自行承担全部责任。</w:t>
      </w:r>
    </w:p>
    <w:p w14:paraId="0997CF2B">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2.2</w:t>
      </w:r>
      <w:r>
        <w:rPr>
          <w:rFonts w:hint="eastAsia" w:ascii="宋体" w:hAnsi="宋体" w:eastAsia="宋体" w:cs="宋体"/>
          <w:bCs/>
          <w:color w:val="auto"/>
          <w:sz w:val="28"/>
          <w:szCs w:val="28"/>
          <w:highlight w:val="none"/>
        </w:rPr>
        <w:t>代理机构可以按照规定，通过修改招标文件酌情延长投标截止日期，在此情况下，投标人的所有权利和义务以及投标人受制的截止日期均应以延长后新的截止日期为准。</w:t>
      </w:r>
    </w:p>
    <w:p w14:paraId="594BC4B8">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72" w:name="_Toc513029227"/>
      <w:bookmarkStart w:id="73" w:name="_Toc20823299"/>
      <w:bookmarkStart w:id="74" w:name="_Toc16938543"/>
      <w:r>
        <w:rPr>
          <w:rFonts w:hint="eastAsia" w:ascii="宋体" w:hAnsi="宋体" w:eastAsia="宋体" w:cs="宋体"/>
          <w:color w:val="auto"/>
          <w:sz w:val="28"/>
          <w:szCs w:val="28"/>
          <w:highlight w:val="none"/>
        </w:rPr>
        <w:t>3.投标文件</w:t>
      </w:r>
      <w:bookmarkEnd w:id="72"/>
      <w:bookmarkEnd w:id="73"/>
      <w:bookmarkEnd w:id="74"/>
      <w:r>
        <w:rPr>
          <w:rFonts w:hint="eastAsia" w:ascii="宋体" w:hAnsi="宋体" w:eastAsia="宋体" w:cs="宋体"/>
          <w:color w:val="auto"/>
          <w:sz w:val="28"/>
          <w:szCs w:val="28"/>
          <w:highlight w:val="none"/>
        </w:rPr>
        <w:t>的拒收</w:t>
      </w:r>
    </w:p>
    <w:p w14:paraId="747C48B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3.1 代理机构拒绝接收在其规定的投标截止时间后提交的任何投标文件。</w:t>
      </w:r>
    </w:p>
    <w:p w14:paraId="12D16605">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75" w:name="_Toc20823300"/>
      <w:bookmarkStart w:id="76" w:name="_Toc16938544"/>
      <w:bookmarkStart w:id="77" w:name="_Toc513029228"/>
      <w:r>
        <w:rPr>
          <w:rFonts w:hint="eastAsia" w:ascii="宋体" w:hAnsi="宋体" w:eastAsia="宋体" w:cs="宋体"/>
          <w:color w:val="auto"/>
          <w:sz w:val="28"/>
          <w:szCs w:val="28"/>
          <w:highlight w:val="none"/>
        </w:rPr>
        <w:t>4.投标文件的撤回和修改</w:t>
      </w:r>
      <w:bookmarkEnd w:id="75"/>
      <w:bookmarkEnd w:id="76"/>
      <w:bookmarkEnd w:id="77"/>
    </w:p>
    <w:p w14:paraId="55F47A33">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响应文件的撤回</w:t>
      </w:r>
    </w:p>
    <w:p w14:paraId="1DCEF55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4.1.1投标人可在响应文件提交截止时间前，书面撤回其投标响应文件。</w:t>
      </w:r>
    </w:p>
    <w:p w14:paraId="68E188B8">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4.1.2 投标人撤回投标文件，则认为其不再参与本项目投标活动。</w:t>
      </w:r>
    </w:p>
    <w:p w14:paraId="07CC4488">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 投标文件的修改</w:t>
      </w:r>
    </w:p>
    <w:p w14:paraId="48F0485B">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bookmarkStart w:id="78" w:name="_Toc120614218"/>
      <w:bookmarkStart w:id="79" w:name="_Toc16938545"/>
      <w:bookmarkStart w:id="80" w:name="_Toc513029229"/>
      <w:bookmarkStart w:id="81" w:name="_Toc20823301"/>
      <w:r>
        <w:rPr>
          <w:rFonts w:hint="eastAsia" w:ascii="宋体" w:hAnsi="宋体" w:eastAsia="宋体" w:cs="宋体"/>
          <w:color w:val="auto"/>
          <w:sz w:val="28"/>
          <w:szCs w:val="28"/>
          <w:highlight w:val="none"/>
        </w:rPr>
        <w:t>在响应文件提交截止时间之后，投标人不得再对其提交的响应文件进行修改。</w:t>
      </w:r>
    </w:p>
    <w:p w14:paraId="53A648BF">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五、开标与评标</w:t>
      </w:r>
      <w:bookmarkEnd w:id="78"/>
      <w:bookmarkEnd w:id="79"/>
      <w:bookmarkEnd w:id="80"/>
      <w:bookmarkEnd w:id="81"/>
    </w:p>
    <w:p w14:paraId="04FDA27B">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82" w:name="_Toc20823302"/>
      <w:bookmarkStart w:id="83" w:name="_Toc16938546"/>
      <w:bookmarkStart w:id="84" w:name="_Toc513029230"/>
      <w:r>
        <w:rPr>
          <w:rFonts w:hint="eastAsia" w:ascii="宋体" w:hAnsi="宋体" w:eastAsia="宋体" w:cs="宋体"/>
          <w:color w:val="auto"/>
          <w:sz w:val="28"/>
          <w:szCs w:val="28"/>
          <w:highlight w:val="none"/>
        </w:rPr>
        <w:t>1开标</w:t>
      </w:r>
      <w:bookmarkEnd w:id="82"/>
      <w:bookmarkEnd w:id="83"/>
      <w:bookmarkEnd w:id="84"/>
    </w:p>
    <w:p w14:paraId="5B3A517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代理机构将在招标公告中规定的时间和地点组织公开开标。投标人应当按时在指定地点参加开标活动。</w:t>
      </w:r>
    </w:p>
    <w:p w14:paraId="7D5ABEAE">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1.2开标仪</w:t>
      </w:r>
      <w:r>
        <w:rPr>
          <w:rFonts w:hint="eastAsia" w:ascii="宋体" w:hAnsi="宋体" w:eastAsia="宋体" w:cs="宋体"/>
          <w:color w:val="auto"/>
          <w:sz w:val="28"/>
          <w:szCs w:val="28"/>
          <w:highlight w:val="none"/>
        </w:rPr>
        <w:t>式由代理机构组织。</w:t>
      </w:r>
    </w:p>
    <w:p w14:paraId="6EFA9EC5">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85" w:name="_Toc16938547"/>
      <w:bookmarkStart w:id="86" w:name="_Toc20823303"/>
      <w:bookmarkStart w:id="87" w:name="_Toc513029231"/>
      <w:r>
        <w:rPr>
          <w:rFonts w:hint="eastAsia" w:ascii="宋体" w:hAnsi="宋体" w:eastAsia="宋体" w:cs="宋体"/>
          <w:color w:val="auto"/>
          <w:sz w:val="28"/>
          <w:szCs w:val="28"/>
          <w:highlight w:val="none"/>
        </w:rPr>
        <w:t>2评标委员会</w:t>
      </w:r>
    </w:p>
    <w:p w14:paraId="5DEBDC5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2.1开标后，代理机构将立即组织评标委员会（以下简称评委会）进行评标。</w:t>
      </w:r>
    </w:p>
    <w:p w14:paraId="64140FB1">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评委会由招标人代表和有关技术、经济等方面的专家组成，且人员构成符合采购有关规定。</w:t>
      </w:r>
    </w:p>
    <w:p w14:paraId="0F1BAABB">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2.3评委会独立工作，负责评审所有投标文件并确定中标候选人。</w:t>
      </w:r>
    </w:p>
    <w:p w14:paraId="1FAEEDD9">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3.评标过程的保密与公正</w:t>
      </w:r>
    </w:p>
    <w:bookmarkEnd w:id="85"/>
    <w:bookmarkEnd w:id="86"/>
    <w:bookmarkEnd w:id="87"/>
    <w:p w14:paraId="70D3DA5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3.1</w:t>
      </w:r>
      <w:r>
        <w:rPr>
          <w:rFonts w:hint="eastAsia" w:ascii="宋体" w:hAnsi="宋体" w:eastAsia="宋体" w:cs="宋体"/>
          <w:bCs/>
          <w:color w:val="auto"/>
          <w:sz w:val="28"/>
          <w:szCs w:val="28"/>
          <w:highlight w:val="none"/>
        </w:rPr>
        <w:t>公开开标后，直至向中标的投标人授予合同时止，凡是与审查、澄清、评价和比较投标的有关资料以及授标建议等，招标人、评委、代理机构均不得向投标人或与评标无关的其他人员透露。</w:t>
      </w:r>
    </w:p>
    <w:p w14:paraId="7BF5573E">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3.2在评标过程中，投标人不得以任何行为影响评标过程，否则其投标文件将被作为无效投标文件。</w:t>
      </w:r>
    </w:p>
    <w:p w14:paraId="2CFAACBF">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3.3在评标期间，代理机构将设专门人员与投标人联系。</w:t>
      </w:r>
    </w:p>
    <w:p w14:paraId="2AD460D0">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代理机构和评标委员会不向未中标的投标人解释未中标原因，也不公布评标过程中的相关细节。</w:t>
      </w:r>
    </w:p>
    <w:p w14:paraId="3214744B">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采用综合评分法的项目，公布评标结果时一并公布所有投标人的评审得分及排序情况。</w:t>
      </w:r>
    </w:p>
    <w:p w14:paraId="16C559F8">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88" w:name="_Toc513029232"/>
      <w:bookmarkStart w:id="89" w:name="_Toc16938548"/>
      <w:bookmarkStart w:id="90" w:name="_Toc20823304"/>
      <w:r>
        <w:rPr>
          <w:rFonts w:hint="eastAsia" w:ascii="宋体" w:hAnsi="宋体" w:eastAsia="宋体" w:cs="宋体"/>
          <w:color w:val="auto"/>
          <w:sz w:val="28"/>
          <w:szCs w:val="28"/>
          <w:highlight w:val="none"/>
        </w:rPr>
        <w:t>4.投标的澄清</w:t>
      </w:r>
      <w:bookmarkEnd w:id="88"/>
      <w:bookmarkEnd w:id="89"/>
      <w:bookmarkEnd w:id="90"/>
    </w:p>
    <w:p w14:paraId="46A8DA73">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4.1评标期间，为有助于投标文件的审查、评价和比较，评委会有权要求投标人对其投标文件进行澄清，但并非对每个投标人都作澄清要求。</w:t>
      </w:r>
    </w:p>
    <w:p w14:paraId="08E64738">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4.2接到评委会澄清要求的投标人应按评委会规定的时间和格式做出澄清，澄清的内容作为投标文件的补充部分，但投标的价格和实质性的内容不得做任何更改。</w:t>
      </w:r>
    </w:p>
    <w:p w14:paraId="53E8D503">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 接到评委会澄清要求的投标人如未按规定作出澄清，其风险由投标人自行承担。</w:t>
      </w:r>
    </w:p>
    <w:p w14:paraId="267282AA">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bookmarkStart w:id="91" w:name="_Toc513029233"/>
      <w:bookmarkStart w:id="92" w:name="_Toc20823305"/>
      <w:bookmarkStart w:id="93" w:name="_Toc16938549"/>
      <w:r>
        <w:rPr>
          <w:rFonts w:hint="eastAsia" w:ascii="宋体" w:hAnsi="宋体" w:eastAsia="宋体" w:cs="宋体"/>
          <w:color w:val="auto"/>
          <w:sz w:val="28"/>
          <w:szCs w:val="28"/>
          <w:highlight w:val="none"/>
        </w:rPr>
        <w:t>5对投标文件的初审</w:t>
      </w:r>
      <w:bookmarkEnd w:id="91"/>
      <w:bookmarkEnd w:id="92"/>
      <w:bookmarkEnd w:id="93"/>
    </w:p>
    <w:p w14:paraId="4A5B8373">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5.1</w:t>
      </w:r>
      <w:r>
        <w:rPr>
          <w:rFonts w:hint="eastAsia" w:ascii="宋体" w:hAnsi="宋体" w:eastAsia="宋体" w:cs="宋体"/>
          <w:bCs/>
          <w:color w:val="auto"/>
          <w:sz w:val="28"/>
          <w:szCs w:val="28"/>
          <w:highlight w:val="none"/>
        </w:rPr>
        <w:t>投标文件初审分为资格审查和符合性审查。</w:t>
      </w:r>
    </w:p>
    <w:p w14:paraId="4F30E1A0">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5.1.1 资格审查：依据法律法规和招标文件的规定，由招标人对投标文件中的资格证明文件进行审查。</w:t>
      </w:r>
    </w:p>
    <w:p w14:paraId="5D31E95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5.1.2 符合性审查：依据招标文件的规定，由评委会从投标文件的有效性、完整性和对招标文件的响应程度进行审查，以确定是否对招标文件的实质性要求作出响应。</w:t>
      </w:r>
    </w:p>
    <w:p w14:paraId="1BAFF88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5.1.3 未通过资格审查或符合性审查的投标人，代理机构将告知未通过资格审查或符合性审查的原因。</w:t>
      </w:r>
    </w:p>
    <w:p w14:paraId="5A126648">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5.2异常低价审查</w:t>
      </w:r>
    </w:p>
    <w:p w14:paraId="34718695">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5.2.1根据财库〔2026〕2号文件,政府采购评审中出现下列情形之一的，评审委员会应当启动异常低价投标（响应）审查程序：</w:t>
      </w:r>
    </w:p>
    <w:p w14:paraId="57416AB5">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（1）投标（响应）报价低于全部通过符合性审查供应商投标（响应）报价平均值50%的，即投标（响应）报价&lt;全部通过符合性审查供应商投标（响应）报价平均值×50%； </w:t>
      </w:r>
    </w:p>
    <w:p w14:paraId="14005922">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（2）投标（响应）报价低于通过符合性审查的次低报价供应商投标（响应）报价50%的，即投标（响应）报价&lt;通过符合性审查的次低报价供应商投标（响应）报价×50%； </w:t>
      </w:r>
    </w:p>
    <w:p w14:paraId="4521134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（3）投标（响应）报价低于采购项目最高限价45%的，即投标（响应）报价&lt;采购项目最高限价×45%； </w:t>
      </w:r>
    </w:p>
    <w:p w14:paraId="3657C1D2">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（4）评审委员会基于专业判断，认为供应商报价过低，有可能影响产品质量或者不能诚信履约的其他情形。 </w:t>
      </w:r>
    </w:p>
    <w:p w14:paraId="079850A4">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相关法律法规对供应商报价有规定的，从其规定。 </w:t>
      </w:r>
    </w:p>
    <w:p w14:paraId="0A28D6D0">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投标人已随投标（响应）文件一并提交相关书面说明及必要的证明材料的，在评审现场可不再重复提交。</w:t>
      </w:r>
    </w:p>
    <w:p w14:paraId="6F70D632">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lang w:val="en-US" w:eastAsia="zh-CN"/>
        </w:rPr>
        <w:t>5.3</w:t>
      </w:r>
      <w:r>
        <w:rPr>
          <w:rFonts w:hint="eastAsia" w:ascii="宋体" w:hAnsi="宋体" w:eastAsia="宋体" w:cs="宋体"/>
          <w:color w:val="auto"/>
          <w:sz w:val="28"/>
          <w:szCs w:val="28"/>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r>
        <w:rPr>
          <w:rFonts w:hint="eastAsia" w:ascii="宋体" w:hAnsi="宋体" w:eastAsia="宋体" w:cs="宋体"/>
          <w:color w:val="auto"/>
          <w:sz w:val="28"/>
          <w:szCs w:val="28"/>
          <w:highlight w:val="none"/>
          <w:lang w:eastAsia="zh-CN"/>
        </w:rPr>
        <w:t>。</w:t>
      </w:r>
    </w:p>
    <w:p w14:paraId="567EFA08">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4</w:t>
      </w:r>
      <w:r>
        <w:rPr>
          <w:rFonts w:hint="eastAsia" w:ascii="宋体" w:hAnsi="宋体" w:eastAsia="宋体" w:cs="宋体"/>
          <w:bCs/>
          <w:color w:val="auto"/>
          <w:sz w:val="28"/>
          <w:szCs w:val="28"/>
          <w:highlight w:val="none"/>
        </w:rPr>
        <w:t>如果投标文件实质上没有响应招标文件的要求，评委会将予以拒绝，投标人不得通过修改或撤销不合要求的偏离或保留而使其投标成为实质性响应的投标。</w:t>
      </w:r>
    </w:p>
    <w:p w14:paraId="6F4FD7FC">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5</w:t>
      </w:r>
      <w:r>
        <w:rPr>
          <w:rFonts w:hint="eastAsia" w:ascii="宋体" w:hAnsi="宋体" w:eastAsia="宋体" w:cs="宋体"/>
          <w:bCs/>
          <w:color w:val="auto"/>
          <w:sz w:val="28"/>
          <w:szCs w:val="28"/>
          <w:highlight w:val="none"/>
        </w:rPr>
        <w:t>评委会将对确定为实质性响应的投标进行进一步审核，看其是否有计算上或累加上的算术错误，修正错误的原则如下：</w:t>
      </w:r>
    </w:p>
    <w:p w14:paraId="395D03CC">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（1）投标文件中开标一览表内容与投标文件中相应内容不一致的，以开标一览表为准。</w:t>
      </w:r>
    </w:p>
    <w:p w14:paraId="5D32D905">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（2）大写金额和小写金额不一致的，以大写金额为准。</w:t>
      </w:r>
    </w:p>
    <w:p w14:paraId="0F76F56D">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（3）单价金额小数点或者百分比有明显错位的，以开标一览表的总价为准，并修改单价。</w:t>
      </w:r>
    </w:p>
    <w:p w14:paraId="25716C0E">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（4）总价金额与按单价汇总金额不一致的，以单价金额计算结果为准。</w:t>
      </w:r>
    </w:p>
    <w:p w14:paraId="67388CC2">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同时出现两种以上错误的，按照前款规定的顺序修正。</w:t>
      </w:r>
    </w:p>
    <w:p w14:paraId="3CC56704">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6</w:t>
      </w:r>
      <w:r>
        <w:rPr>
          <w:rFonts w:hint="eastAsia" w:ascii="宋体" w:hAnsi="宋体" w:eastAsia="宋体" w:cs="宋体"/>
          <w:bCs/>
          <w:color w:val="auto"/>
          <w:sz w:val="28"/>
          <w:szCs w:val="28"/>
          <w:highlight w:val="none"/>
        </w:rPr>
        <w:t>评委会将按上述修正错误的方法调整投标文件中的投标报价，并告知投标人，调整后的价格应对投标人具有约束力。如果投标人不接受修正后的价格，则其投标将被拒绝。</w:t>
      </w:r>
    </w:p>
    <w:p w14:paraId="3257759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7</w:t>
      </w:r>
      <w:r>
        <w:rPr>
          <w:rFonts w:hint="eastAsia" w:ascii="宋体" w:hAnsi="宋体" w:eastAsia="宋体" w:cs="宋体"/>
          <w:bCs/>
          <w:color w:val="auto"/>
          <w:sz w:val="28"/>
          <w:szCs w:val="28"/>
          <w:highlight w:val="none"/>
        </w:rPr>
        <w:t>评委会将允许修正投标文件中不构成重大偏离的、微小的、非正规的、不一致的或不规则的地方，但这些修改不能影响任何投标人相应的名次排列。</w:t>
      </w:r>
    </w:p>
    <w:p w14:paraId="00FC8411">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bookmarkStart w:id="94" w:name="_Toc16938550"/>
      <w:bookmarkStart w:id="95" w:name="_Toc20823306"/>
      <w:bookmarkStart w:id="96" w:name="_Toc513029234"/>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投标人在开、评标全过程中应保持通讯畅通，并安排专人与代理机构及评标委员会联系。</w:t>
      </w:r>
    </w:p>
    <w:bookmarkEnd w:id="94"/>
    <w:bookmarkEnd w:id="95"/>
    <w:bookmarkEnd w:id="96"/>
    <w:p w14:paraId="712BC80E">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6.无效投标条款和废标条款</w:t>
      </w:r>
    </w:p>
    <w:p w14:paraId="1004ADE7">
      <w:pPr>
        <w:pageBreakBefore w:val="0"/>
        <w:widowControl w:val="0"/>
        <w:tabs>
          <w:tab w:val="left" w:pos="6555"/>
          <w:tab w:val="right" w:pos="8306"/>
        </w:tabs>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
          <w:color w:val="auto"/>
          <w:sz w:val="28"/>
          <w:szCs w:val="28"/>
          <w:highlight w:val="none"/>
        </w:rPr>
      </w:pPr>
      <w:bookmarkStart w:id="97" w:name="_Toc16938551"/>
      <w:bookmarkStart w:id="98" w:name="_Toc20823307"/>
      <w:bookmarkStart w:id="99" w:name="_Toc513029235"/>
      <w:r>
        <w:rPr>
          <w:rFonts w:hint="eastAsia" w:ascii="宋体" w:hAnsi="宋体" w:eastAsia="宋体" w:cs="宋体"/>
          <w:bCs/>
          <w:color w:val="auto"/>
          <w:sz w:val="28"/>
          <w:szCs w:val="28"/>
          <w:highlight w:val="none"/>
        </w:rPr>
        <w:t>6.1出现下列情形之一的，作无效响应处理。</w:t>
      </w:r>
      <w:r>
        <w:rPr>
          <w:rFonts w:hint="eastAsia" w:ascii="宋体" w:hAnsi="宋体" w:eastAsia="宋体" w:cs="宋体"/>
          <w:bCs/>
          <w:color w:val="auto"/>
          <w:sz w:val="28"/>
          <w:szCs w:val="28"/>
          <w:highlight w:val="none"/>
        </w:rPr>
        <w:tab/>
      </w:r>
      <w:r>
        <w:rPr>
          <w:rFonts w:hint="eastAsia" w:ascii="宋体" w:hAnsi="宋体" w:eastAsia="宋体" w:cs="宋体"/>
          <w:b/>
          <w:color w:val="auto"/>
          <w:sz w:val="28"/>
          <w:szCs w:val="28"/>
          <w:highlight w:val="none"/>
        </w:rPr>
        <w:tab/>
      </w:r>
    </w:p>
    <w:p w14:paraId="5C3A9C4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6.1.1</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在规定的时间内未成功提交响应文件的。</w:t>
      </w:r>
    </w:p>
    <w:p w14:paraId="1E0C812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6.1.2未完整提交响应文件的。</w:t>
      </w:r>
    </w:p>
    <w:p w14:paraId="1FC01C2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6.1.3同一投标人提交两个（含两个）以上不同的响应报价的。</w:t>
      </w:r>
    </w:p>
    <w:p w14:paraId="356C4895">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6.1.4不具备招标文件中规定的资格要求的。 </w:t>
      </w:r>
    </w:p>
    <w:p w14:paraId="5B59C61D">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6.1.5响应报价超过了采购预算或最高限价的。 </w:t>
      </w:r>
    </w:p>
    <w:p w14:paraId="0887C57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6.1.6未通过符合性检查的。</w:t>
      </w:r>
    </w:p>
    <w:p w14:paraId="4F4E539D">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w:t>
      </w:r>
      <w:r>
        <w:rPr>
          <w:rFonts w:hint="eastAsia" w:ascii="宋体" w:hAnsi="宋体" w:eastAsia="宋体" w:cs="宋体"/>
          <w:bCs/>
          <w:color w:val="auto"/>
          <w:sz w:val="28"/>
          <w:szCs w:val="28"/>
          <w:highlight w:val="none"/>
          <w:lang w:val="en-US" w:eastAsia="zh-CN"/>
        </w:rPr>
        <w:t>7</w:t>
      </w:r>
      <w:r>
        <w:rPr>
          <w:rFonts w:hint="eastAsia" w:ascii="宋体" w:hAnsi="宋体" w:eastAsia="宋体" w:cs="宋体"/>
          <w:bCs/>
          <w:color w:val="auto"/>
          <w:sz w:val="28"/>
          <w:szCs w:val="28"/>
          <w:highlight w:val="none"/>
        </w:rPr>
        <w:t>不符合法律法规和招标文件中规定的其他实质性要求的。</w:t>
      </w:r>
    </w:p>
    <w:p w14:paraId="57189A1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w:t>
      </w:r>
      <w:r>
        <w:rPr>
          <w:rFonts w:hint="eastAsia" w:ascii="宋体" w:hAnsi="宋体" w:eastAsia="宋体" w:cs="宋体"/>
          <w:bCs/>
          <w:color w:val="auto"/>
          <w:sz w:val="28"/>
          <w:szCs w:val="28"/>
          <w:highlight w:val="none"/>
          <w:lang w:val="en-US" w:eastAsia="zh-CN"/>
        </w:rPr>
        <w:t>8</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被 “信用中国”网站列入失信被执行人或重大税收违法案件当事人名单或采购严重失信行为记录名单，或查询“信用中国”网站后发现</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存在其他不符合合格投标人资格条件的信用记录。</w:t>
      </w:r>
    </w:p>
    <w:p w14:paraId="7E8D4EC1">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w:t>
      </w:r>
      <w:r>
        <w:rPr>
          <w:rFonts w:hint="eastAsia" w:ascii="宋体" w:hAnsi="宋体" w:eastAsia="宋体" w:cs="宋体"/>
          <w:bCs/>
          <w:color w:val="auto"/>
          <w:sz w:val="28"/>
          <w:szCs w:val="28"/>
          <w:highlight w:val="none"/>
          <w:lang w:val="en-US" w:eastAsia="zh-CN"/>
        </w:rPr>
        <w:t>9</w:t>
      </w:r>
      <w:r>
        <w:rPr>
          <w:rFonts w:hint="eastAsia" w:ascii="宋体" w:hAnsi="宋体" w:eastAsia="宋体" w:cs="宋体"/>
          <w:bCs/>
          <w:color w:val="auto"/>
          <w:sz w:val="28"/>
          <w:szCs w:val="28"/>
          <w:highlight w:val="none"/>
        </w:rPr>
        <w:t xml:space="preserve"> 响应文件含有招标人不能接受的附加条件的。</w:t>
      </w:r>
    </w:p>
    <w:p w14:paraId="3377A937">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6.1.10</w:t>
      </w:r>
      <w:r>
        <w:rPr>
          <w:rFonts w:hint="eastAsia" w:ascii="宋体" w:hAnsi="宋体" w:eastAsia="宋体" w:cs="宋体"/>
          <w:b/>
          <w:bCs w:val="0"/>
          <w:color w:val="auto"/>
          <w:sz w:val="28"/>
          <w:szCs w:val="28"/>
          <w:highlight w:val="none"/>
        </w:rPr>
        <w:t xml:space="preserve"> 启动异常低价响应审查后，供应商不提供书面说明、证明材料，或者提供的书面说明、证明材料不能证明其报价合理性的。</w:t>
      </w:r>
    </w:p>
    <w:p w14:paraId="30C3926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6.1.1</w:t>
      </w:r>
      <w:r>
        <w:rPr>
          <w:rFonts w:hint="eastAsia" w:ascii="宋体" w:hAnsi="宋体" w:eastAsia="宋体" w:cs="宋体"/>
          <w:bCs/>
          <w:color w:val="auto"/>
          <w:sz w:val="28"/>
          <w:szCs w:val="28"/>
          <w:highlight w:val="none"/>
          <w:lang w:val="en-US" w:eastAsia="zh-CN"/>
        </w:rPr>
        <w:t>1</w:t>
      </w:r>
      <w:r>
        <w:rPr>
          <w:rFonts w:hint="eastAsia" w:ascii="宋体" w:hAnsi="宋体" w:eastAsia="宋体" w:cs="宋体"/>
          <w:bCs/>
          <w:color w:val="auto"/>
          <w:sz w:val="28"/>
          <w:szCs w:val="28"/>
          <w:highlight w:val="none"/>
        </w:rPr>
        <w:t>响应文件未按照招标文件要求盖章、密封的。</w:t>
      </w:r>
    </w:p>
    <w:p w14:paraId="087B347E">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6.1.1</w:t>
      </w: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供应商的商务技术部分得分相差悬殊，评标委员会认为得分畸低者没有实质性响应的。</w:t>
      </w:r>
    </w:p>
    <w:p w14:paraId="0432FEC1">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6.1.1</w:t>
      </w: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其他法律法规及本招标文件规定的属无效响应的情形。</w:t>
      </w:r>
    </w:p>
    <w:p w14:paraId="147FDEEC">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6.2废标条款：</w:t>
      </w:r>
    </w:p>
    <w:p w14:paraId="11633814">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6.2.1符合专业条件的</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或者对招标文件作实质响应的</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不足三家的。</w:t>
      </w:r>
    </w:p>
    <w:p w14:paraId="59BAA358">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6.2.2出现影响采购公正的违法、违规行为的。</w:t>
      </w:r>
    </w:p>
    <w:p w14:paraId="7080DA1F">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6.2.3因重大变故，采购任务取消的。</w:t>
      </w:r>
    </w:p>
    <w:p w14:paraId="75DB8ACC">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6.2.4评标委员会认定招标文件存在歧义、重大缺陷导致评审工作无法进行。</w:t>
      </w:r>
    </w:p>
    <w:p w14:paraId="5198A87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6.3 投标截止时间结束后参加投标的</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不足三家的处理：</w:t>
      </w:r>
    </w:p>
    <w:p w14:paraId="34B41942">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6.3.1如出现投标截止时间结束后参加投标的</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或者在评标期间对招标文件做出实质响应的</w:t>
      </w:r>
      <w:r>
        <w:rPr>
          <w:rFonts w:hint="eastAsia" w:ascii="宋体" w:hAnsi="宋体" w:eastAsia="宋体" w:cs="宋体"/>
          <w:color w:val="auto"/>
          <w:sz w:val="28"/>
          <w:szCs w:val="28"/>
          <w:highlight w:val="none"/>
        </w:rPr>
        <w:t>投标人</w:t>
      </w:r>
      <w:r>
        <w:rPr>
          <w:rFonts w:hint="eastAsia" w:ascii="宋体" w:hAnsi="宋体" w:eastAsia="宋体" w:cs="宋体"/>
          <w:bCs/>
          <w:color w:val="auto"/>
          <w:sz w:val="28"/>
          <w:szCs w:val="28"/>
          <w:highlight w:val="none"/>
        </w:rPr>
        <w:t>不足三家情况，按采购相关规定执行。</w:t>
      </w:r>
    </w:p>
    <w:bookmarkEnd w:id="97"/>
    <w:bookmarkEnd w:id="98"/>
    <w:bookmarkEnd w:id="99"/>
    <w:p w14:paraId="410B9ACF">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宋体" w:hAnsi="宋体" w:eastAsia="宋体" w:cs="宋体"/>
          <w:color w:val="auto"/>
          <w:sz w:val="28"/>
          <w:szCs w:val="28"/>
          <w:highlight w:val="none"/>
        </w:rPr>
      </w:pPr>
      <w:bookmarkStart w:id="100" w:name="_Toc120614219"/>
      <w:r>
        <w:rPr>
          <w:rFonts w:hint="eastAsia" w:ascii="宋体" w:hAnsi="宋体" w:eastAsia="宋体" w:cs="宋体"/>
          <w:color w:val="auto"/>
          <w:sz w:val="28"/>
          <w:szCs w:val="28"/>
          <w:highlight w:val="none"/>
        </w:rPr>
        <w:t>六、定标</w:t>
      </w:r>
      <w:bookmarkEnd w:id="100"/>
    </w:p>
    <w:p w14:paraId="3774AF84">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color w:val="auto"/>
          <w:sz w:val="28"/>
          <w:szCs w:val="28"/>
          <w:highlight w:val="none"/>
        </w:rPr>
      </w:pPr>
      <w:bookmarkStart w:id="101" w:name="_Toc20823310"/>
      <w:bookmarkStart w:id="102" w:name="_Toc16938554"/>
      <w:r>
        <w:rPr>
          <w:rFonts w:hint="eastAsia" w:ascii="宋体" w:hAnsi="宋体" w:eastAsia="宋体" w:cs="宋体"/>
          <w:color w:val="auto"/>
          <w:sz w:val="28"/>
          <w:szCs w:val="28"/>
          <w:highlight w:val="none"/>
        </w:rPr>
        <w:t>1.确定</w:t>
      </w:r>
      <w:bookmarkEnd w:id="101"/>
      <w:bookmarkEnd w:id="102"/>
      <w:r>
        <w:rPr>
          <w:rFonts w:hint="eastAsia" w:ascii="宋体" w:hAnsi="宋体" w:eastAsia="宋体" w:cs="宋体"/>
          <w:color w:val="auto"/>
          <w:sz w:val="28"/>
          <w:szCs w:val="28"/>
          <w:highlight w:val="none"/>
        </w:rPr>
        <w:t>中标单位</w:t>
      </w:r>
    </w:p>
    <w:p w14:paraId="1EB9B43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1.1中标候选人的选取原则和数量见招标文件第四部分规定。 </w:t>
      </w:r>
    </w:p>
    <w:p w14:paraId="68B55B74">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1.2招标人授权评委会在中标候选人中直接确定中标人。</w:t>
      </w:r>
    </w:p>
    <w:p w14:paraId="474AB767">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1.3</w:t>
      </w:r>
      <w:r>
        <w:rPr>
          <w:rFonts w:hint="eastAsia" w:ascii="宋体" w:hAnsi="宋体" w:eastAsia="宋体" w:cs="宋体"/>
          <w:color w:val="auto"/>
          <w:sz w:val="28"/>
          <w:szCs w:val="28"/>
          <w:highlight w:val="none"/>
        </w:rPr>
        <w:t>代理机构将在“</w:t>
      </w:r>
      <w:r>
        <w:rPr>
          <w:rFonts w:hint="eastAsia" w:ascii="宋体" w:hAnsi="宋体" w:cs="宋体"/>
          <w:color w:val="auto"/>
          <w:sz w:val="28"/>
          <w:szCs w:val="28"/>
          <w:highlight w:val="none"/>
          <w:lang w:eastAsia="zh-CN"/>
        </w:rPr>
        <w:t>南通市农业农村局网站</w:t>
      </w:r>
      <w:r>
        <w:rPr>
          <w:rFonts w:hint="eastAsia" w:ascii="宋体" w:hAnsi="宋体" w:eastAsia="宋体" w:cs="宋体"/>
          <w:color w:val="auto"/>
          <w:sz w:val="28"/>
          <w:szCs w:val="28"/>
          <w:highlight w:val="none"/>
        </w:rPr>
        <w:t>”发布中标公告，公告期限为1个工作日。</w:t>
      </w:r>
    </w:p>
    <w:p w14:paraId="24E1739D">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1.4若有充分证据证明，中标人出现下列情况之一的，一经查实，将被取消中标资格：</w:t>
      </w:r>
    </w:p>
    <w:p w14:paraId="3A3E5CB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1.4.1提供虚假材料谋取中标的。</w:t>
      </w:r>
    </w:p>
    <w:p w14:paraId="73AA799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1.4.2向招标人、代理机构行贿或者提供其他不正当利益的。</w:t>
      </w:r>
    </w:p>
    <w:p w14:paraId="1A7F82B1">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1.4.3恶意竞争，投标总报价明显低于其自身合理成本且又无法提供证明的。</w:t>
      </w:r>
    </w:p>
    <w:p w14:paraId="5D14126B">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1.4.4属于本文件规定的无效条件，但在评标过程中又未被评委会发现的。</w:t>
      </w:r>
    </w:p>
    <w:p w14:paraId="029A9470">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1.4.5与招标人或者其他投标人恶意串通的。</w:t>
      </w:r>
    </w:p>
    <w:p w14:paraId="15A3AC24">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1.4.6采取不正当手段诋毁、排挤其他投标人的。</w:t>
      </w:r>
    </w:p>
    <w:p w14:paraId="56AF6DA4">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bookmarkStart w:id="103" w:name="_Toc200451960"/>
      <w:r>
        <w:rPr>
          <w:rFonts w:hint="eastAsia" w:ascii="宋体" w:hAnsi="宋体" w:eastAsia="宋体" w:cs="宋体"/>
          <w:color w:val="auto"/>
          <w:sz w:val="28"/>
          <w:szCs w:val="28"/>
          <w:highlight w:val="none"/>
        </w:rPr>
        <w:t>1.5.</w:t>
      </w:r>
      <w:r>
        <w:rPr>
          <w:rFonts w:hint="eastAsia" w:ascii="宋体" w:hAnsi="宋体" w:eastAsia="宋体" w:cs="宋体"/>
          <w:color w:val="auto"/>
          <w:kern w:val="0"/>
          <w:sz w:val="28"/>
          <w:szCs w:val="28"/>
          <w:highlight w:val="none"/>
        </w:rPr>
        <w:t>有下列情形之一的，视为投标人串通投标，投标无效：</w:t>
      </w:r>
    </w:p>
    <w:p w14:paraId="223245BE">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1.5.1不同投标人的投标文件由同一单位或者个人编制；</w:t>
      </w:r>
    </w:p>
    <w:p w14:paraId="770D7E64">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1.5.2不同投标人委托同一单位或者个人办理投标事宜；</w:t>
      </w:r>
    </w:p>
    <w:p w14:paraId="7A09F454">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1.5.3不同投标人的投标文件载明的项目管理成员或者联系人员为同一人；</w:t>
      </w:r>
    </w:p>
    <w:p w14:paraId="06966141">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1.5.4不同投标人的投标文件异常一致或者投标报价呈规律性差异；</w:t>
      </w:r>
    </w:p>
    <w:p w14:paraId="7F905897">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1.5.5不同投标人的投标文件相互混装；</w:t>
      </w:r>
    </w:p>
    <w:p w14:paraId="712DE51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2.质疑事项</w:t>
      </w:r>
    </w:p>
    <w:bookmarkEnd w:id="103"/>
    <w:p w14:paraId="47BEBF8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bookmarkStart w:id="104" w:name="_Toc120614220"/>
      <w:bookmarkStart w:id="105" w:name="_Toc20823308"/>
      <w:bookmarkStart w:id="106" w:name="_Toc513029236"/>
      <w:bookmarkStart w:id="107" w:name="_Toc16938552"/>
      <w:r>
        <w:rPr>
          <w:rFonts w:hint="eastAsia" w:ascii="宋体" w:hAnsi="宋体" w:eastAsia="宋体" w:cs="宋体"/>
          <w:color w:val="auto"/>
          <w:sz w:val="28"/>
          <w:szCs w:val="28"/>
          <w:highlight w:val="none"/>
        </w:rPr>
        <w:t>2.1 提出质疑的供应商应当是参与所质疑项目采购活动的供应商。潜在供应商依法获取其可质疑的招标文件的，可以对招标文件提出质疑。</w:t>
      </w:r>
    </w:p>
    <w:p w14:paraId="2CA5EFEB">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2.2供应商认为招标文件、采购过程和采购结果使自己的权益受到损害的，可以在知道或应知其权益受到损害之日起七个工作日内，以书面形式向代理机构或招标人提出质疑。上述应知其权益受到损害之日，是指：</w:t>
      </w:r>
    </w:p>
    <w:p w14:paraId="37AAFE56">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2.2.1对可以质疑的招标文件提出质疑的，为收到招标文件之日或者招标文件公告期限届满之日；采购项目开标后，不再接受供应商对采购文件（含更正公告等）内容的异议或质询（质疑）。</w:t>
      </w:r>
    </w:p>
    <w:p w14:paraId="1F396D35">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sz w:val="28"/>
          <w:szCs w:val="28"/>
          <w:highlight w:val="none"/>
        </w:rPr>
        <w:t>2.2.2</w:t>
      </w:r>
      <w:r>
        <w:rPr>
          <w:rFonts w:hint="eastAsia" w:ascii="宋体" w:hAnsi="宋体" w:eastAsia="宋体" w:cs="宋体"/>
          <w:b/>
          <w:bCs/>
          <w:color w:val="auto"/>
          <w:kern w:val="0"/>
          <w:sz w:val="28"/>
          <w:szCs w:val="28"/>
          <w:highlight w:val="none"/>
        </w:rPr>
        <w:t>对采购过程提出质疑的，为各采购程序环节结束之日；</w:t>
      </w:r>
    </w:p>
    <w:p w14:paraId="0149BCC8">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其中：对评审过程中涉及的密封检查、身份核对、澄清等程序性事项，供应商如有异议的，必须当场提出。否则，均视为供应商无异议。无论是否成交，供应商事后不得再就前述事项提出任何异议或质疑投诉。</w:t>
      </w:r>
    </w:p>
    <w:p w14:paraId="0046BCFC">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2.2.3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2FE0B14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4D9E1F50">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2.3质疑函必须按照本招标文件中《质疑函范本》要求的格式和内容进行填写。</w:t>
      </w:r>
    </w:p>
    <w:p w14:paraId="2B9FF713">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rPr>
        <w:t>式、招标文件中项目需求、供应商资格条件、评审方法和评审标准、资格审查结果等应当由招标人答复的质疑，请向招标人提出，由招标人负责答复。投标人对其他事项的质疑，请向招标代理机构提出，由招标人或招标代理机构负责答复。</w:t>
      </w:r>
    </w:p>
    <w:p w14:paraId="4ABBDBD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供应商提起质疑采取书面形式，可以现场送达，也可以邮寄。</w:t>
      </w:r>
    </w:p>
    <w:p w14:paraId="62CB6437">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招标人及招标代理机构质疑接收人及联系方式，见招标文件第一部分。</w:t>
      </w:r>
    </w:p>
    <w:p w14:paraId="2A710873">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2.5供应商提出质疑应当提交质疑函和必要的证明材料，否则不予受理。质疑函应当包括下列内容：</w:t>
      </w:r>
    </w:p>
    <w:p w14:paraId="7446AE1B">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供应商的姓名或者名称、地址、邮编、联系人及联系电话；</w:t>
      </w:r>
    </w:p>
    <w:p w14:paraId="5D8EBDDA">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质疑项目的名称、编号；</w:t>
      </w:r>
    </w:p>
    <w:p w14:paraId="5CE984DF">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具体、明确的质疑事项和与质疑事项相关的请求；</w:t>
      </w:r>
    </w:p>
    <w:p w14:paraId="7026866B">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事实依据；</w:t>
      </w:r>
    </w:p>
    <w:p w14:paraId="482A9DF5">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必要的法律依据；</w:t>
      </w:r>
    </w:p>
    <w:p w14:paraId="27669A88">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提出质疑的日期。</w:t>
      </w:r>
    </w:p>
    <w:p w14:paraId="6417E163">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供应商为自然人的，应当由本人签字；供应商为法人或者其他组织的，应当由法定代表人、主要负责人，或者其授权代表签字或者盖章，并加盖公章。</w:t>
      </w:r>
    </w:p>
    <w:p w14:paraId="6935685E">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57977F17">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2.5.1 内容不符合上述规定的质疑。</w:t>
      </w:r>
    </w:p>
    <w:p w14:paraId="030398C2">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2.5.2 超出采购法定期限的质疑。</w:t>
      </w:r>
    </w:p>
    <w:p w14:paraId="1F4B158C">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2.5.3 未参加招标活动的供应商或在招标活动中自身权益未受到损害的供应商所提出的质疑。</w:t>
      </w:r>
    </w:p>
    <w:p w14:paraId="6EE1973F">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投标人提出书面质疑必须有理、有据，不得捏造事实、提供虚假材料进行恶意质疑。否则，一经查实，招标代理机构有权依据招标的有关规定，报请采购监管部门对该供应商进行相应的行政处罚和记录该供应商的失信信息。</w:t>
      </w:r>
    </w:p>
    <w:p w14:paraId="2EE98B14">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3.中标通知书</w:t>
      </w:r>
    </w:p>
    <w:p w14:paraId="713C7246">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3.l中标结果确定后，招标人将向中标人发出中标通知书。</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应在成交结果公告期满后5个工作日内到采购代理机构办理领取中标通知书手续，否则，由此产生的后果供应商自负。</w:t>
      </w:r>
    </w:p>
    <w:p w14:paraId="5C4F60C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3.2中标通知书将是合同的一个组成部分。对招标人和中标人均具有法律效力。中标通知书发出后，招标人改变中标结果的，或者中标人放弃中标项目的，应当依法承担法律责任。</w:t>
      </w:r>
    </w:p>
    <w:p w14:paraId="70BDE311">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七、授予合同</w:t>
      </w:r>
      <w:bookmarkEnd w:id="104"/>
    </w:p>
    <w:bookmarkEnd w:id="105"/>
    <w:bookmarkEnd w:id="106"/>
    <w:bookmarkEnd w:id="107"/>
    <w:p w14:paraId="1F4B2EA7">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color w:val="auto"/>
          <w:sz w:val="28"/>
          <w:szCs w:val="28"/>
          <w:highlight w:val="none"/>
        </w:rPr>
      </w:pPr>
      <w:bookmarkStart w:id="108" w:name="_Toc20823309"/>
      <w:bookmarkStart w:id="109" w:name="_Toc513029237"/>
      <w:bookmarkStart w:id="110" w:name="_Toc16938553"/>
      <w:r>
        <w:rPr>
          <w:rFonts w:hint="eastAsia" w:ascii="宋体" w:hAnsi="宋体" w:eastAsia="宋体" w:cs="宋体"/>
          <w:color w:val="auto"/>
          <w:sz w:val="28"/>
          <w:szCs w:val="28"/>
          <w:highlight w:val="none"/>
        </w:rPr>
        <w:t>1.签订合同</w:t>
      </w:r>
    </w:p>
    <w:p w14:paraId="6272A987">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.l中标人应当在中标通知书发出之日起三十日内，按照招标文件确定的事项与招标人签订采购合同。</w:t>
      </w:r>
    </w:p>
    <w:p w14:paraId="1B842C5B">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1.2招标文件、中标人的投标文件及招标过程中有关澄清、承诺文件均应作为合同附件。</w:t>
      </w:r>
    </w:p>
    <w:p w14:paraId="7F0FB4DD">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中标人不得将服务进行转包。未经招标人同意，中标人也不得采用分包的形式履行合同，否则招标人有权终止合同。采购合同分包履行的，中标人就采购项目和分包项目向招标人负责，分包中标人就分包项目承担责任。转包或分包造成招标人损失的，中标人应承担相应赔偿责任。</w:t>
      </w:r>
    </w:p>
    <w:p w14:paraId="2F99881A">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2.服务的追加、减少和添购。</w:t>
      </w:r>
    </w:p>
    <w:p w14:paraId="4E2C9D7A">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2.1采购合同履行中，招标人需追加与合同标的相同的服务的，在不改变合同其他条款的前提下，可以与中标人协商签订补充合同，但所有补充合同的采购金额不超过原合同金额的10%。</w:t>
      </w:r>
    </w:p>
    <w:p w14:paraId="5A111034">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2.2采购结束后，招标人若由于各种客观原因，必须对采购项目所牵涉的服务进行适当地减少时，在双方协商一致的前提下，可以按照招标采购时的价格水平做相应的调减，并据此签订补充合同。</w:t>
      </w:r>
      <w:bookmarkEnd w:id="108"/>
      <w:bookmarkEnd w:id="109"/>
      <w:bookmarkEnd w:id="110"/>
    </w:p>
    <w:p w14:paraId="77EC728F">
      <w:pPr>
        <w:spacing w:line="440" w:lineRule="exact"/>
        <w:ind w:firstLine="562"/>
        <w:jc w:val="both"/>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3.合同模板（仅供参考）</w:t>
      </w:r>
    </w:p>
    <w:p w14:paraId="1DB9178B">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45B3D409">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303E60EF">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1845610B">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121E6793">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34F68B97">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26041F00">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2D7CE34C">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339356B5">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71D46D3C">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1737186A">
      <w:pPr>
        <w:spacing w:line="440" w:lineRule="exact"/>
        <w:ind w:firstLine="562"/>
        <w:jc w:val="center"/>
        <w:rPr>
          <w:rFonts w:hint="eastAsia" w:ascii="宋体" w:hAnsi="宋体" w:eastAsia="宋体" w:cs="Times New Roman"/>
          <w:color w:val="auto"/>
          <w:kern w:val="2"/>
          <w:sz w:val="24"/>
          <w:szCs w:val="24"/>
          <w:highlight w:val="none"/>
          <w:lang w:val="en-US" w:eastAsia="zh-CN" w:bidi="ar-SA"/>
        </w:rPr>
      </w:pPr>
    </w:p>
    <w:p w14:paraId="4D23A563">
      <w:pPr>
        <w:pageBreakBefore w:val="0"/>
        <w:kinsoku/>
        <w:wordWrap/>
        <w:overflowPunct/>
        <w:topLinePunct w:val="0"/>
        <w:autoSpaceDE/>
        <w:autoSpaceDN/>
        <w:bidi w:val="0"/>
        <w:spacing w:line="4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kern w:val="2"/>
          <w:sz w:val="28"/>
          <w:szCs w:val="28"/>
          <w:highlight w:val="none"/>
          <w:lang w:val="en-US" w:eastAsia="zh-CN" w:bidi="ar-SA"/>
        </w:rPr>
        <w:t>南通市水产品养殖滥用药专项整治检测项目（2026年度）</w:t>
      </w:r>
    </w:p>
    <w:p w14:paraId="7C3A8B02">
      <w:pPr>
        <w:pageBreakBefore w:val="0"/>
        <w:kinsoku/>
        <w:wordWrap/>
        <w:overflowPunct/>
        <w:topLinePunct w:val="0"/>
        <w:autoSpaceDE/>
        <w:autoSpaceDN/>
        <w:bidi w:val="0"/>
        <w:spacing w:line="460" w:lineRule="exact"/>
        <w:ind w:firstLine="562"/>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采购合同（草案）</w:t>
      </w:r>
    </w:p>
    <w:p w14:paraId="0672E299">
      <w:pPr>
        <w:pageBreakBefore w:val="0"/>
        <w:kinsoku/>
        <w:wordWrap/>
        <w:overflowPunct/>
        <w:topLinePunct w:val="0"/>
        <w:autoSpaceDE/>
        <w:autoSpaceDN/>
        <w:bidi w:val="0"/>
        <w:spacing w:line="460" w:lineRule="exact"/>
        <w:ind w:firstLine="562"/>
        <w:jc w:val="center"/>
        <w:textAlignment w:val="auto"/>
        <w:rPr>
          <w:rFonts w:hint="eastAsia" w:ascii="宋体" w:hAnsi="宋体" w:eastAsia="宋体" w:cs="宋体"/>
          <w:b/>
          <w:color w:val="auto"/>
          <w:sz w:val="28"/>
          <w:szCs w:val="28"/>
          <w:highlight w:val="none"/>
        </w:rPr>
      </w:pPr>
    </w:p>
    <w:p w14:paraId="68FA4820">
      <w:pPr>
        <w:pageBreakBefore w:val="0"/>
        <w:kinsoku/>
        <w:wordWrap/>
        <w:overflowPunct/>
        <w:topLinePunct w:val="0"/>
        <w:autoSpaceDE/>
        <w:autoSpaceDN/>
        <w:bidi w:val="0"/>
        <w:spacing w:line="460" w:lineRule="exact"/>
        <w:ind w:firstLine="436"/>
        <w:jc w:val="left"/>
        <w:textAlignment w:val="auto"/>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 xml:space="preserve">甲方（采购人）： </w:t>
      </w:r>
    </w:p>
    <w:p w14:paraId="19E10DF5">
      <w:pPr>
        <w:pageBreakBefore w:val="0"/>
        <w:kinsoku/>
        <w:wordWrap/>
        <w:overflowPunct/>
        <w:topLinePunct w:val="0"/>
        <w:autoSpaceDE/>
        <w:autoSpaceDN/>
        <w:bidi w:val="0"/>
        <w:spacing w:line="460" w:lineRule="exact"/>
        <w:ind w:firstLine="436"/>
        <w:jc w:val="left"/>
        <w:textAlignment w:val="auto"/>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 xml:space="preserve">乙方（中标人）： </w:t>
      </w:r>
    </w:p>
    <w:p w14:paraId="72188563">
      <w:pPr>
        <w:pStyle w:val="31"/>
        <w:pageBreakBefore w:val="0"/>
        <w:kinsoku/>
        <w:wordWrap/>
        <w:overflowPunct/>
        <w:topLinePunct w:val="0"/>
        <w:autoSpaceDE/>
        <w:autoSpaceDN/>
        <w:bidi w:val="0"/>
        <w:spacing w:before="0" w:beforeAutospacing="0" w:after="0" w:afterAutospacing="0" w:line="460" w:lineRule="exact"/>
        <w:ind w:firstLine="480"/>
        <w:textAlignment w:val="auto"/>
        <w:outlineLvl w:val="1"/>
        <w:rPr>
          <w:rFonts w:hint="eastAsia" w:ascii="宋体" w:hAnsi="宋体" w:eastAsia="宋体" w:cs="宋体"/>
          <w:color w:val="auto"/>
          <w:kern w:val="2"/>
          <w:sz w:val="28"/>
          <w:szCs w:val="28"/>
          <w:highlight w:val="none"/>
        </w:rPr>
      </w:pPr>
      <w:bookmarkStart w:id="111" w:name="_Hlk147822709"/>
      <w:r>
        <w:rPr>
          <w:rFonts w:hint="eastAsia" w:ascii="宋体" w:hAnsi="宋体" w:eastAsia="宋体" w:cs="宋体"/>
          <w:color w:val="auto"/>
          <w:kern w:val="2"/>
          <w:sz w:val="28"/>
          <w:szCs w:val="28"/>
          <w:highlight w:val="none"/>
        </w:rPr>
        <w:t>根据《中华人民共和国民法典》、《中华人民共和国政府采购法》及“南通市</w:t>
      </w:r>
      <w:r>
        <w:rPr>
          <w:rFonts w:hint="eastAsia" w:ascii="宋体" w:hAnsi="宋体" w:eastAsia="宋体" w:cs="宋体"/>
          <w:color w:val="auto"/>
          <w:kern w:val="2"/>
          <w:sz w:val="28"/>
          <w:szCs w:val="28"/>
          <w:highlight w:val="none"/>
          <w:lang w:val="en-US" w:eastAsia="zh-CN"/>
        </w:rPr>
        <w:t>水产品养殖滥用药专项整治检测</w:t>
      </w:r>
      <w:r>
        <w:rPr>
          <w:rFonts w:hint="eastAsia" w:ascii="宋体" w:hAnsi="宋体" w:eastAsia="宋体" w:cs="宋体"/>
          <w:color w:val="auto"/>
          <w:kern w:val="2"/>
          <w:sz w:val="28"/>
          <w:szCs w:val="28"/>
          <w:highlight w:val="none"/>
        </w:rPr>
        <w:t>项目（202</w:t>
      </w:r>
      <w:r>
        <w:rPr>
          <w:rFonts w:hint="eastAsia" w:ascii="宋体" w:hAnsi="宋体" w:eastAsia="宋体" w:cs="宋体"/>
          <w:color w:val="auto"/>
          <w:kern w:val="2"/>
          <w:sz w:val="28"/>
          <w:szCs w:val="28"/>
          <w:highlight w:val="none"/>
          <w:lang w:val="en-US" w:eastAsia="zh-CN"/>
        </w:rPr>
        <w:t>6</w:t>
      </w:r>
      <w:r>
        <w:rPr>
          <w:rFonts w:hint="eastAsia" w:ascii="宋体" w:hAnsi="宋体" w:eastAsia="宋体" w:cs="宋体"/>
          <w:color w:val="auto"/>
          <w:kern w:val="2"/>
          <w:sz w:val="28"/>
          <w:szCs w:val="28"/>
          <w:highlight w:val="none"/>
        </w:rPr>
        <w:t>年度）”采购文件的要求和采购结果，经甲乙双方协商一致，签订本合同。双方共同遵守如下条款（技术说明及其他有关合同项目的特定信息由合同附件予以说明，合同附件及本项目的招标文件、投标文件等均为本合同不可分割之一部分）。</w:t>
      </w:r>
    </w:p>
    <w:bookmarkEnd w:id="111"/>
    <w:p w14:paraId="017412BC">
      <w:pPr>
        <w:pageBreakBefore w:val="0"/>
        <w:numPr>
          <w:ilvl w:val="0"/>
          <w:numId w:val="2"/>
        </w:numPr>
        <w:kinsoku/>
        <w:wordWrap/>
        <w:overflowPunct/>
        <w:topLinePunct w:val="0"/>
        <w:autoSpaceDE/>
        <w:autoSpaceDN/>
        <w:bidi w:val="0"/>
        <w:spacing w:line="460" w:lineRule="exact"/>
        <w:ind w:left="0" w:firstLine="200" w:firstLineChars="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合作内容</w:t>
      </w:r>
    </w:p>
    <w:p w14:paraId="4E460EF0">
      <w:pPr>
        <w:pageBreakBefore w:val="0"/>
        <w:kinsoku/>
        <w:wordWrap/>
        <w:overflowPunct/>
        <w:topLinePunct w:val="0"/>
        <w:autoSpaceDE/>
        <w:autoSpaceDN/>
        <w:bidi w:val="0"/>
        <w:spacing w:line="460" w:lineRule="exact"/>
        <w:ind w:firstLine="512" w:firstLineChars="183"/>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val="en-US" w:eastAsia="zh-CN"/>
        </w:rPr>
        <w:t>南通市水产品养殖滥用药专项整治检测项目（2026年度）</w:t>
      </w:r>
    </w:p>
    <w:p w14:paraId="06873582">
      <w:pPr>
        <w:pageBreakBefore w:val="0"/>
        <w:kinsoku/>
        <w:wordWrap/>
        <w:overflowPunct/>
        <w:topLinePunct w:val="0"/>
        <w:autoSpaceDE/>
        <w:autoSpaceDN/>
        <w:bidi w:val="0"/>
        <w:spacing w:line="460" w:lineRule="exact"/>
        <w:ind w:firstLine="512" w:firstLineChars="183"/>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2.南通市水产品养殖滥用药专项整治检测计划</w:t>
      </w:r>
    </w:p>
    <w:p w14:paraId="49CDD6E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每月随机抽检重点问题水产品（及）60批次，持续12个月，重点抽检鳊鱼、黄鳝、泥鳅、牛蛙和鲫鱼、乌鳢、大口黑鲈，覆盖10个县（市、区）（主要为南通经济技术开发区、崇川区、苏锡通园区、通州湾示范区、启东市、海门区、通州区、如东县、如皋市、海安市）的农贸市场，每个农贸市场原则上不超过3个样品，每个月鳊鱼、黄鳝、泥鳅、牛蛙抽样数量不少于30个。</w:t>
      </w:r>
    </w:p>
    <w:p w14:paraId="375BD0B0">
      <w:pPr>
        <w:pageBreakBefore w:val="0"/>
        <w:numPr>
          <w:ilvl w:val="0"/>
          <w:numId w:val="0"/>
        </w:numPr>
        <w:kinsoku/>
        <w:wordWrap/>
        <w:overflowPunct/>
        <w:topLinePunct w:val="0"/>
        <w:autoSpaceDE/>
        <w:autoSpaceDN/>
        <w:bidi w:val="0"/>
        <w:spacing w:line="46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服务要求</w:t>
      </w:r>
    </w:p>
    <w:p w14:paraId="052451C7">
      <w:pPr>
        <w:pageBreakBefore w:val="0"/>
        <w:kinsoku/>
        <w:wordWrap/>
        <w:overflowPunct/>
        <w:topLinePunct w:val="0"/>
        <w:autoSpaceDE/>
        <w:autoSpaceDN/>
        <w:bidi w:val="0"/>
        <w:spacing w:line="460" w:lineRule="exact"/>
        <w:ind w:firstLineChars="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（一）委托检测要求</w:t>
      </w:r>
    </w:p>
    <w:p w14:paraId="4F3C987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（1）抽样监测中要加大对高风险品种的抽检频次，抽样时注重结合区域性、季节性、时令性特点，坚持问题导向的原则。</w:t>
      </w:r>
    </w:p>
    <w:p w14:paraId="201F57E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（2）抽样要求，</w:t>
      </w:r>
      <w:r>
        <w:rPr>
          <w:rFonts w:hint="eastAsia" w:ascii="宋体" w:hAnsi="宋体" w:eastAsia="宋体" w:cs="宋体"/>
          <w:color w:val="auto"/>
          <w:sz w:val="28"/>
          <w:szCs w:val="28"/>
          <w:highlight w:val="none"/>
          <w:lang w:val="en-US" w:eastAsia="zh-CN"/>
        </w:rPr>
        <w:t>中标人</w:t>
      </w:r>
      <w:r>
        <w:rPr>
          <w:rFonts w:hint="eastAsia" w:ascii="宋体" w:hAnsi="宋体" w:eastAsia="宋体" w:cs="宋体"/>
          <w:color w:val="auto"/>
          <w:sz w:val="28"/>
          <w:szCs w:val="28"/>
          <w:highlight w:val="none"/>
        </w:rPr>
        <w:t>需按照202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年度江苏省农业农村厅下发的农产品质量安全监测方案的通知等要求执行</w:t>
      </w:r>
      <w:r>
        <w:rPr>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于每个月第一周完成抽样任务，提供样品移动支付凭证、采样照片和对应的农贸市场与商户信息，</w:t>
      </w:r>
      <w:r>
        <w:rPr>
          <w:rFonts w:hint="eastAsia" w:ascii="宋体" w:hAnsi="宋体" w:eastAsia="宋体" w:cs="宋体"/>
          <w:b/>
          <w:bCs/>
          <w:color w:val="auto"/>
          <w:sz w:val="28"/>
          <w:szCs w:val="28"/>
          <w:highlight w:val="none"/>
        </w:rPr>
        <w:t>每次采样后</w:t>
      </w:r>
      <w:r>
        <w:rPr>
          <w:rFonts w:hint="eastAsia" w:ascii="宋体" w:hAnsi="宋体" w:eastAsia="宋体" w:cs="宋体"/>
          <w:b/>
          <w:bCs/>
          <w:color w:val="auto"/>
          <w:sz w:val="28"/>
          <w:szCs w:val="28"/>
          <w:highlight w:val="none"/>
          <w:lang w:val="en-US" w:eastAsia="zh-CN"/>
        </w:rPr>
        <w:t>5个日历天</w:t>
      </w:r>
      <w:r>
        <w:rPr>
          <w:rFonts w:hint="eastAsia" w:ascii="宋体" w:hAnsi="宋体" w:eastAsia="宋体" w:cs="宋体"/>
          <w:b/>
          <w:bCs/>
          <w:color w:val="auto"/>
          <w:sz w:val="28"/>
          <w:szCs w:val="28"/>
          <w:highlight w:val="none"/>
        </w:rPr>
        <w:t>内完成</w:t>
      </w:r>
      <w:r>
        <w:rPr>
          <w:rFonts w:hint="eastAsia" w:ascii="宋体" w:hAnsi="宋体" w:eastAsia="宋体" w:cs="宋体"/>
          <w:b/>
          <w:bCs/>
          <w:color w:val="auto"/>
          <w:sz w:val="28"/>
          <w:szCs w:val="28"/>
          <w:highlight w:val="none"/>
          <w:lang w:val="en-US" w:eastAsia="zh-CN"/>
        </w:rPr>
        <w:t>检测及结果上报。每个样品至少制3份样，两份承检机构留存，一份交南通市农产品质量检验测试中心留存，南通市农产品质量检验测试中心随机抽取进行复核。所有样品制备工作需由任务承担单位派人在南通市农产品质量检验测试中心完成。</w:t>
      </w:r>
      <w:r>
        <w:rPr>
          <w:rFonts w:hint="eastAsia" w:ascii="宋体" w:hAnsi="宋体" w:cs="宋体"/>
          <w:b/>
          <w:bCs/>
          <w:color w:val="auto"/>
          <w:sz w:val="28"/>
          <w:szCs w:val="28"/>
          <w:highlight w:val="none"/>
          <w:lang w:val="en-US" w:eastAsia="zh-CN"/>
        </w:rPr>
        <w:t>中标人需配合甲方对抽样工作进行监督。</w:t>
      </w:r>
    </w:p>
    <w:p w14:paraId="5B50483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（3）根据</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委托的检测项目和任务，落实专人负责现场采样、检测、数据汇总、统计分析等工作。供应商需配合</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因上级要求或实际需要对检测品种和项目而作出的调整，不得另行收费。</w:t>
      </w:r>
    </w:p>
    <w:p w14:paraId="0682B8D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（4）根据</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的时间部署和工作要求，分期、分批开展采样和检测工作。</w:t>
      </w:r>
    </w:p>
    <w:p w14:paraId="0CC45FB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中标人</w:t>
      </w:r>
      <w:r>
        <w:rPr>
          <w:rFonts w:hint="eastAsia" w:ascii="宋体" w:hAnsi="宋体" w:eastAsia="宋体" w:cs="宋体"/>
          <w:color w:val="auto"/>
          <w:sz w:val="28"/>
          <w:szCs w:val="28"/>
          <w:highlight w:val="none"/>
        </w:rPr>
        <w:t>需负责样品的运输和保存，并确保样品贮存、运输符合国家相关规定，不发生影响检验结论的变化。</w:t>
      </w:r>
    </w:p>
    <w:p w14:paraId="080CCD5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（6）国家对现行检测标准和检测方法如有更新，以最新依据为准。</w:t>
      </w:r>
    </w:p>
    <w:p w14:paraId="6F221CBA">
      <w:pPr>
        <w:pageBreakBefore w:val="0"/>
        <w:kinsoku/>
        <w:wordWrap/>
        <w:overflowPunct/>
        <w:topLinePunct w:val="0"/>
        <w:autoSpaceDE/>
        <w:autoSpaceDN/>
        <w:bidi w:val="0"/>
        <w:spacing w:line="460" w:lineRule="exact"/>
        <w:ind w:firstLine="48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（二）检测结果和报告</w:t>
      </w:r>
    </w:p>
    <w:p w14:paraId="7AED3624">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对其抽取的样品负责，检测结果反映送检样品的真实状况，且必须自觉接受</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的结果比对。</w:t>
      </w:r>
    </w:p>
    <w:p w14:paraId="7B214C6D">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应按照规定的时限，完成检测任务，并汇总样品采样和检测结果信息，出具检测报告。除应急处置的样品须在样品送达后24小时内完成检测外，其他样品在每次采样后</w:t>
      </w:r>
      <w:r>
        <w:rPr>
          <w:rFonts w:hint="eastAsia" w:ascii="宋体" w:hAnsi="宋体" w:cs="宋体"/>
          <w:color w:val="auto"/>
          <w:sz w:val="28"/>
          <w:szCs w:val="28"/>
          <w:highlight w:val="none"/>
          <w:lang w:val="en-US" w:eastAsia="zh-CN"/>
        </w:rPr>
        <w:t>5个日历天</w:t>
      </w:r>
      <w:r>
        <w:rPr>
          <w:rFonts w:hint="eastAsia" w:ascii="宋体" w:hAnsi="宋体" w:eastAsia="宋体" w:cs="宋体"/>
          <w:color w:val="auto"/>
          <w:sz w:val="28"/>
          <w:szCs w:val="28"/>
          <w:highlight w:val="none"/>
        </w:rPr>
        <w:t>内完成检测任务，并汇总样品采样和检测结果信息，出具检测报告。</w:t>
      </w:r>
    </w:p>
    <w:p w14:paraId="4E25B83F">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须对目前暂未有判定依据的项目，出具检测数值、检测方法介绍、结果分析和处理建议。</w:t>
      </w:r>
    </w:p>
    <w:p w14:paraId="03262C69">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在每批样品检测工作完成后，及时出具检测报告。检测结果不合格的，应当在确认后24小时内将检测报告原件（不少于三份）寄（送）采购单位；检测结果合格的，在2个工作日内同将检测报告原件（不少于二份）寄（送）</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。同时将检测结果上传至江苏省农产品质量追溯平台。</w:t>
      </w:r>
    </w:p>
    <w:p w14:paraId="0D1BAFC3">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（5）被抽检人对检测结果如有异议，提出复检申请后，</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应配合</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对复检样品的调取送达工作。复检结果与初检结果不一致的，复检费用由</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承担。</w:t>
      </w:r>
    </w:p>
    <w:p w14:paraId="11112B88">
      <w:pPr>
        <w:pageBreakBefore w:val="0"/>
        <w:kinsoku/>
        <w:wordWrap/>
        <w:overflowPunct/>
        <w:topLinePunct w:val="0"/>
        <w:autoSpaceDE/>
        <w:autoSpaceDN/>
        <w:bidi w:val="0"/>
        <w:spacing w:line="460" w:lineRule="exact"/>
        <w:ind w:firstLine="48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（三）检测任务工作情况报送</w:t>
      </w:r>
    </w:p>
    <w:p w14:paraId="509CEBD5">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检测任务全部完成后，</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要对检测结果进行分析评估。对检测结果判定为不合格的，要对不合格项目进行原因及危害性分析评估，提出下一年度检测意见和建议。</w:t>
      </w:r>
    </w:p>
    <w:p w14:paraId="3154CCE4">
      <w:pPr>
        <w:pageBreakBefore w:val="0"/>
        <w:kinsoku/>
        <w:wordWrap/>
        <w:overflowPunct/>
        <w:topLinePunct w:val="0"/>
        <w:autoSpaceDE/>
        <w:autoSpaceDN/>
        <w:bidi w:val="0"/>
        <w:spacing w:line="460" w:lineRule="exact"/>
        <w:ind w:firstLine="48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（四）采购标的的其他技术、服务等要求</w:t>
      </w:r>
    </w:p>
    <w:p w14:paraId="3C9748B3">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必须按照诚信、客观、公正、实事求是的原则开展抽样检测服务，采样、检测工作必须按照相关标准、程序和要求实施，不得弄虚作假，随意变更。</w:t>
      </w:r>
    </w:p>
    <w:p w14:paraId="434503FF">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如出现以下情形之一，即取消承检机构资格，相关款项不予支付，且三年内不得响应采购单位同类项目，如造成经济损失及不良影响的，依法追究其经济赔偿责任和法律责任。一是在开展抽样检测过程中弄虚作假或不配合采购方开展工作的；二是未征得采购人同意，将检测任务外包或分包给其他检测机构检测的；三是不履行保密义务，向除</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外的任何单位与个人透露与监督抽查相关的信息。</w:t>
      </w:r>
    </w:p>
    <w:p w14:paraId="4F3703C9">
      <w:pPr>
        <w:pageBreakBefore w:val="0"/>
        <w:kinsoku/>
        <w:wordWrap/>
        <w:overflowPunct/>
        <w:topLinePunct w:val="0"/>
        <w:autoSpaceDE/>
        <w:autoSpaceDN/>
        <w:bidi w:val="0"/>
        <w:spacing w:line="46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三、商务要求：</w:t>
      </w:r>
    </w:p>
    <w:p w14:paraId="55CF52F8">
      <w:pPr>
        <w:keepNext w:val="0"/>
        <w:keepLines w:val="0"/>
        <w:pageBreakBefore w:val="0"/>
        <w:widowControl w:val="0"/>
        <w:kinsoku/>
        <w:wordWrap/>
        <w:overflowPunct/>
        <w:topLinePunct w:val="0"/>
        <w:autoSpaceDE w:val="0"/>
        <w:autoSpaceDN w:val="0"/>
        <w:bidi w:val="0"/>
        <w:adjustRightInd w:val="0"/>
        <w:spacing w:line="460" w:lineRule="exact"/>
        <w:ind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服务时限：自</w:t>
      </w:r>
      <w:r>
        <w:rPr>
          <w:rFonts w:hint="eastAsia" w:ascii="宋体" w:hAnsi="宋体" w:cs="宋体"/>
          <w:color w:val="auto"/>
          <w:sz w:val="28"/>
          <w:szCs w:val="28"/>
          <w:highlight w:val="none"/>
          <w:lang w:eastAsia="zh-CN"/>
        </w:rPr>
        <w:t>合同签订</w:t>
      </w:r>
      <w:r>
        <w:rPr>
          <w:rFonts w:hint="eastAsia" w:ascii="宋体" w:hAnsi="宋体" w:eastAsia="宋体" w:cs="宋体"/>
          <w:color w:val="auto"/>
          <w:sz w:val="28"/>
          <w:szCs w:val="28"/>
          <w:highlight w:val="none"/>
        </w:rPr>
        <w:t>之日起</w:t>
      </w:r>
      <w:r>
        <w:rPr>
          <w:rFonts w:hint="eastAsia" w:ascii="宋体" w:hAnsi="宋体" w:cs="宋体"/>
          <w:color w:val="auto"/>
          <w:sz w:val="28"/>
          <w:szCs w:val="28"/>
          <w:highlight w:val="none"/>
          <w:lang w:val="en-US" w:eastAsia="zh-CN"/>
        </w:rPr>
        <w:t>12个月。</w:t>
      </w:r>
      <w:r>
        <w:rPr>
          <w:rFonts w:hint="eastAsia" w:ascii="宋体" w:hAnsi="宋体" w:eastAsia="宋体" w:cs="宋体"/>
          <w:color w:val="auto"/>
          <w:sz w:val="28"/>
          <w:szCs w:val="28"/>
          <w:highlight w:val="none"/>
        </w:rPr>
        <w:t>（除应急处置的样品须在样品送达后24小时内完成检测外，其他样品在每次采样后</w:t>
      </w:r>
      <w:r>
        <w:rPr>
          <w:rFonts w:hint="eastAsia" w:ascii="宋体" w:hAnsi="宋体" w:cs="宋体"/>
          <w:color w:val="auto"/>
          <w:sz w:val="28"/>
          <w:szCs w:val="28"/>
          <w:highlight w:val="none"/>
          <w:lang w:val="en-US" w:eastAsia="zh-CN"/>
        </w:rPr>
        <w:t>5个日历天</w:t>
      </w:r>
      <w:r>
        <w:rPr>
          <w:rFonts w:hint="eastAsia" w:ascii="宋体" w:hAnsi="宋体" w:eastAsia="宋体" w:cs="宋体"/>
          <w:color w:val="auto"/>
          <w:sz w:val="28"/>
          <w:szCs w:val="28"/>
          <w:highlight w:val="none"/>
        </w:rPr>
        <w:t>内完成检测任务，并汇总样品采样和检测结果信息，出具检测报告）。</w:t>
      </w:r>
    </w:p>
    <w:p w14:paraId="1B440146">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服务地点：采购人指定地点。</w:t>
      </w:r>
    </w:p>
    <w:p w14:paraId="151FEBB4">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合同价款：合同总金额为：</w:t>
      </w:r>
      <w:r>
        <w:rPr>
          <w:rFonts w:hint="eastAsia" w:ascii="宋体" w:hAnsi="宋体" w:eastAsia="宋体" w:cs="宋体"/>
          <w:color w:val="auto"/>
          <w:sz w:val="28"/>
          <w:szCs w:val="28"/>
          <w:highlight w:val="none"/>
          <w:u w:val="single"/>
        </w:rPr>
        <w:t>¥           元（大写：人民币         ）</w:t>
      </w:r>
      <w:r>
        <w:rPr>
          <w:rFonts w:hint="eastAsia" w:ascii="宋体" w:hAnsi="宋体" w:eastAsia="宋体" w:cs="宋体"/>
          <w:color w:val="auto"/>
          <w:sz w:val="28"/>
          <w:szCs w:val="28"/>
          <w:highlight w:val="none"/>
        </w:rPr>
        <w:t>，合同价款包含项目从实施到服务结束的所有费用，包括但不限于服务任务完成所需监督抽检的采样费、检测费、人员工资、社保、配套设备、技术服务费、管理、验收、安全保护、培训、售后、保险、税金、利润等一切与该项目相关的所有费用和政策性文件规定及合同包含的所有风险、责任等各项应有费用。</w:t>
      </w:r>
    </w:p>
    <w:p w14:paraId="77D9E524">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本合同价款在合同实施期间不因市场变化因素而变动。</w:t>
      </w:r>
    </w:p>
    <w:p w14:paraId="655F5189">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付款方式：</w:t>
      </w:r>
      <w:r>
        <w:rPr>
          <w:rFonts w:hint="eastAsia" w:ascii="宋体" w:hAnsi="宋体" w:cs="宋体"/>
          <w:color w:val="auto"/>
          <w:sz w:val="28"/>
          <w:szCs w:val="28"/>
          <w:highlight w:val="none"/>
          <w:lang w:val="en-US" w:eastAsia="zh-CN"/>
        </w:rPr>
        <w:t>因财政资金管理要求，甲方于2026年12月20日前一次性完成项目资金的支付（支付前，乙方需先行提供项目资金对应保额的保函）</w:t>
      </w:r>
    </w:p>
    <w:p w14:paraId="7A7AB7C5">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验收标准：全年服务完成后采购人组织项目验收，验收合格即视为项目完成。</w:t>
      </w:r>
    </w:p>
    <w:p w14:paraId="1F52A5EE">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履约保证金：中标价*5%；即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14:paraId="1F62D541">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履约保证金的退还：</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在按要求保质保量的完成该项目合同并通过验收后，</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凭</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提交的申请，一次性无息退还该合同项目的履约保证金。由于</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原因，在签订合同后出现不按合同履行的情况，</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有权将履约保证金作为违约金，全额不予退还，同时</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亦有权终止合同，</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还须承担相应的法律赔偿责任。</w:t>
      </w:r>
    </w:p>
    <w:p w14:paraId="494AD7FB">
      <w:pPr>
        <w:pageBreakBefore w:val="0"/>
        <w:kinsoku/>
        <w:wordWrap/>
        <w:overflowPunct/>
        <w:topLinePunct w:val="0"/>
        <w:autoSpaceDE/>
        <w:autoSpaceDN/>
        <w:bidi w:val="0"/>
        <w:spacing w:line="460" w:lineRule="exact"/>
        <w:ind w:firstLine="48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四、保密条款</w:t>
      </w:r>
    </w:p>
    <w:p w14:paraId="1A501FDD">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自合同签订之日起，乙方有责任对甲方提供的各种技术文件(软件、咨询报告、服务内容)与工作业务信息进行保密，未经甲方书面批准不得提供给第三方。如有违反，乙方应承担相应的法律责任。此保密义务不因合同的终止而免除。</w:t>
      </w:r>
    </w:p>
    <w:p w14:paraId="304A7D12">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乙方必须遵守甲方的各项规章制度，严格按照工作规范组织进行项目实施工作，制定切实可行的措施保障人员安全、设备安全和生产安全。</w:t>
      </w:r>
    </w:p>
    <w:p w14:paraId="60AB29F6">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乙方必须制定合理的措施对实施人员进行管理和思想教育，加强保密意识，安全生产意识。</w:t>
      </w:r>
    </w:p>
    <w:p w14:paraId="397CE22D">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乙方如违反保密条款相应内容，乙方必须承担全部责任并赔偿甲方的一切损失，甲方有权追究乙方的法律责任并终止本合同。</w:t>
      </w:r>
    </w:p>
    <w:p w14:paraId="15E805FA">
      <w:pPr>
        <w:pageBreakBefore w:val="0"/>
        <w:kinsoku/>
        <w:wordWrap/>
        <w:overflowPunct/>
        <w:topLinePunct w:val="0"/>
        <w:autoSpaceDE/>
        <w:autoSpaceDN/>
        <w:bidi w:val="0"/>
        <w:adjustRightInd w:val="0"/>
        <w:snapToGrid w:val="0"/>
        <w:spacing w:line="460" w:lineRule="exact"/>
        <w:ind w:firstLine="48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五、知识产权条款</w:t>
      </w:r>
    </w:p>
    <w:p w14:paraId="3E40E5A8">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乙方保证甲方在使用乙方提供的任何产品、服务时，不受第三方提出的侵犯知识产权指控。如果任何第三方提出与乙方提供的任何产品、服务有关的侵权指控，甲方不承担因此发生的任何责任，乙方须与第三方交涉并承担因此发生的一切法律责任和费用</w:t>
      </w:r>
    </w:p>
    <w:p w14:paraId="27D5D5D6">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项目实施所产生的信息资源及完成的所有技术成果(包括但不限于软件、源代码及技术资料)的知识产权(包括但不限于著作权、专利权、商标权、专有技术等权利)及衍生权利均由甲方享有，凡必要或可能申请专利的技术成果，均须通过甲方办理专利申请。</w:t>
      </w:r>
    </w:p>
    <w:p w14:paraId="61EAC897">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对在项目实施过程中获知的甲方或为甲方提供服务的第三方的知识产权，都受本条款保护</w:t>
      </w:r>
    </w:p>
    <w:p w14:paraId="4BCD7C22">
      <w:pPr>
        <w:pageBreakBefore w:val="0"/>
        <w:kinsoku/>
        <w:wordWrap/>
        <w:overflowPunct/>
        <w:topLinePunct w:val="0"/>
        <w:autoSpaceDE/>
        <w:autoSpaceDN/>
        <w:bidi w:val="0"/>
        <w:adjustRightInd w:val="0"/>
        <w:snapToGrid w:val="0"/>
        <w:spacing w:line="460" w:lineRule="exact"/>
        <w:ind w:firstLine="48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六、双方责任</w:t>
      </w:r>
    </w:p>
    <w:p w14:paraId="675CF8A0">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1．甲方违约责任 </w:t>
      </w:r>
    </w:p>
    <w:p w14:paraId="36B327B4">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 合同签订后，由于甲方停止项目而终止合同的，甲方向乙方偿付合同款总值的百分之五违约金；乙方已进入现场工作，甲方应按完成的实际工作量支付项目价款。 </w:t>
      </w:r>
    </w:p>
    <w:p w14:paraId="17BAED1D">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2）甲方延期付款时（有正当拒付理由者除外），应向乙方偿付逾期付款违约金，具体按逾期付款总额每日万分之二的标准计算。但违约金的总数不超过合同总价的 5﹪。 </w:t>
      </w:r>
    </w:p>
    <w:p w14:paraId="445E22F7">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2．乙方违约责任 </w:t>
      </w:r>
    </w:p>
    <w:p w14:paraId="64A13330">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1）合同签订后，如乙方擅自中途停止或解除合同，乙方须向甲方偿付合同款总值的百分之五违约金。 </w:t>
      </w:r>
    </w:p>
    <w:p w14:paraId="29D724A5">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2）非因甲方原因乙方未能按时履约时，应向甲方赔偿拖期损失费，每天的拖期损失费按合同总价款的千分之三计算，乙方单次任务逾期超过 7 天以上或合同期内服务任务未按照采购文件规定完成 3 次以上的视为乙方不履行合同，甲方可按下款 2.4 执行。不可抗力造成的项目拖期，乙方不承担赔偿责任。 </w:t>
      </w:r>
    </w:p>
    <w:p w14:paraId="231208BC">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3）乙方擅自转包本合同标的的，甲方有权解除合同，要求乙方退还收取的全部款项，并可要求乙方偿付合同总价款 5％的违约金。 </w:t>
      </w:r>
    </w:p>
    <w:p w14:paraId="733774FD">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乙方不履行合同或履行合同不符合约定的，甲方有权解除合同，同时甲方有权要求乙方承担合同总价款百分之五的违约金。如果甲方因此造成的实际损失超过约定的违约金，则乙方的赔偿额应以甲方的实际损失为准。 </w:t>
      </w:r>
    </w:p>
    <w:p w14:paraId="399263E5">
      <w:pPr>
        <w:pageBreakBefore w:val="0"/>
        <w:kinsoku/>
        <w:wordWrap/>
        <w:overflowPunct/>
        <w:topLinePunct w:val="0"/>
        <w:autoSpaceDE/>
        <w:autoSpaceDN/>
        <w:bidi w:val="0"/>
        <w:adjustRightInd w:val="0"/>
        <w:snapToGrid w:val="0"/>
        <w:spacing w:line="460" w:lineRule="exact"/>
        <w:ind w:firstLine="48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七、不可抗力</w:t>
      </w:r>
    </w:p>
    <w:p w14:paraId="22430581">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如果合同任一方因战争、火灾、洪水、台风、地震和其他不可抗力原因，影响了合同的履行，则可根据受影响的程度顺延合同履行期限，这一期限相当于事故所受影响的时间，并可根据情况部分或全部免予承担违约责任。但若一方违约在先:不得以此后发生不可抗力为由免除其违约责任。</w:t>
      </w:r>
    </w:p>
    <w:p w14:paraId="7C3AE17D">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受不可抗力影响的一方应在事件发生后，立即通知对方，并在十日内以书面方式向对方提供该不可抗力事件的证明文件(如政府公告、新闻报道等)，并应于不可抗力事件结束后，立即恢复对本合同的履行。</w:t>
      </w:r>
    </w:p>
    <w:p w14:paraId="39917C25">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如果不可抗力事件后果影响合同执行超过180天，双方则就未来合同的履行另行商议。</w:t>
      </w:r>
    </w:p>
    <w:p w14:paraId="4673AB8E">
      <w:pPr>
        <w:pageBreakBefore w:val="0"/>
        <w:kinsoku/>
        <w:wordWrap/>
        <w:overflowPunct/>
        <w:topLinePunct w:val="0"/>
        <w:autoSpaceDE/>
        <w:autoSpaceDN/>
        <w:bidi w:val="0"/>
        <w:adjustRightInd w:val="0"/>
        <w:snapToGrid w:val="0"/>
        <w:spacing w:line="460" w:lineRule="exact"/>
        <w:ind w:firstLine="48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八、争议解决条款</w:t>
      </w:r>
    </w:p>
    <w:p w14:paraId="34724B94">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因履行本合同所发生的和与本合同有关的一切争议，甲、乙双方应首先通过协商方式解决。若协商不成，任何一方均可向南通市人民法院提起诉讼。</w:t>
      </w:r>
    </w:p>
    <w:p w14:paraId="7699BDF1">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如果用户和乙方之间发生争议，乙方有义务继续按照服务内容条款中的要求提供服务，不得中断。如果争议的内容是有关甲方应支付的费用，乙方能且只能在做出通知6个月之后，终止合同并停止服务。</w:t>
      </w:r>
    </w:p>
    <w:p w14:paraId="57225718">
      <w:pPr>
        <w:pageBreakBefore w:val="0"/>
        <w:kinsoku/>
        <w:wordWrap/>
        <w:overflowPunct/>
        <w:topLinePunct w:val="0"/>
        <w:autoSpaceDE/>
        <w:autoSpaceDN/>
        <w:bidi w:val="0"/>
        <w:adjustRightInd w:val="0"/>
        <w:snapToGrid w:val="0"/>
        <w:spacing w:line="460" w:lineRule="exact"/>
        <w:ind w:firstLine="482"/>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九、其他条款</w:t>
      </w:r>
    </w:p>
    <w:p w14:paraId="34143393">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本合同所有附件、招标文件、投标文件、中标通知书均为合同的有效组成部分，与本合同具有同等法律效力。</w:t>
      </w:r>
    </w:p>
    <w:p w14:paraId="7A0CE271">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在执行本合同的过程中，所有经双方签署确认的文件（包括会议纪要、补充协议、往来信函）即成为本合同的有效组成部分。</w:t>
      </w:r>
    </w:p>
    <w:p w14:paraId="44B167A2">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如一方地址、电话、传真号码有变更，应在变更当日内书面通知对方，否则，应承担相应责任。</w:t>
      </w:r>
    </w:p>
    <w:p w14:paraId="683512A3">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除甲方事先书面同意外，乙方不得部分或全部转让其应履行的合同项下的义务。</w:t>
      </w:r>
    </w:p>
    <w:p w14:paraId="3AEE1E25">
      <w:pPr>
        <w:pageBreakBefore w:val="0"/>
        <w:kinsoku/>
        <w:wordWrap/>
        <w:overflowPunct/>
        <w:topLinePunct w:val="0"/>
        <w:autoSpaceDE/>
        <w:autoSpaceDN/>
        <w:bidi w:val="0"/>
        <w:adjustRightInd w:val="0"/>
        <w:snapToGrid w:val="0"/>
        <w:spacing w:line="460" w:lineRule="exact"/>
        <w:ind w:firstLine="482"/>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十、合同的终止</w:t>
      </w:r>
    </w:p>
    <w:p w14:paraId="3869681B">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合同到期的服务终止，甲方应至少在合同到期前10天以明确的书面形式通知乙方。</w:t>
      </w:r>
    </w:p>
    <w:p w14:paraId="47CE38A9">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任何一方违反合同的约定并在接到非违约方书面通知的违约通知10天内补救失败，非违约方在提前10天给予书面通知的情况下有权终止合同。一旦合同以这种方式终止，各方应按照约定履行。</w:t>
      </w:r>
    </w:p>
    <w:p w14:paraId="04E9C09B">
      <w:pPr>
        <w:keepNext/>
        <w:keepLines/>
        <w:pageBreakBefore w:val="0"/>
        <w:widowControl/>
        <w:kinsoku/>
        <w:wordWrap/>
        <w:overflowPunct/>
        <w:topLinePunct w:val="0"/>
        <w:autoSpaceDE/>
        <w:autoSpaceDN/>
        <w:bidi w:val="0"/>
        <w:spacing w:line="460" w:lineRule="exact"/>
        <w:ind w:firstLine="482"/>
        <w:jc w:val="left"/>
        <w:textAlignment w:val="auto"/>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十一、合同生效</w:t>
      </w:r>
    </w:p>
    <w:p w14:paraId="3EA16162">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本合同自双方签订之日起，并加盖单位合同章或公章后生效。</w:t>
      </w:r>
    </w:p>
    <w:p w14:paraId="6DAC3E26">
      <w:pPr>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合同壹式</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份，其中甲乙双方各执</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 xml:space="preserve">份 </w:t>
      </w:r>
    </w:p>
    <w:p w14:paraId="2826E733">
      <w:pPr>
        <w:pageBreakBefore w:val="0"/>
        <w:kinsoku/>
        <w:wordWrap/>
        <w:overflowPunct/>
        <w:topLinePunct w:val="0"/>
        <w:autoSpaceDE/>
        <w:autoSpaceDN/>
        <w:bidi w:val="0"/>
        <w:adjustRightInd w:val="0"/>
        <w:snapToGrid w:val="0"/>
        <w:spacing w:line="460" w:lineRule="exact"/>
        <w:ind w:firstLine="480"/>
        <w:textAlignment w:val="auto"/>
        <w:rPr>
          <w:rFonts w:hint="eastAsia" w:ascii="宋体" w:hAnsi="宋体" w:eastAsia="宋体" w:cs="宋体"/>
          <w:bCs/>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bCs/>
          <w:color w:val="auto"/>
          <w:kern w:val="0"/>
          <w:sz w:val="28"/>
          <w:szCs w:val="28"/>
          <w:highlight w:val="none"/>
        </w:rPr>
        <w:t>本合同的附件为本合同不可分割的部分，与合同正文具有同等效力。</w:t>
      </w:r>
    </w:p>
    <w:p w14:paraId="0315D262">
      <w:pPr>
        <w:pStyle w:val="34"/>
        <w:pageBreakBefore w:val="0"/>
        <w:kinsoku/>
        <w:wordWrap/>
        <w:overflowPunct/>
        <w:topLinePunct w:val="0"/>
        <w:autoSpaceDE/>
        <w:autoSpaceDN/>
        <w:bidi w:val="0"/>
        <w:spacing w:after="0" w:line="460" w:lineRule="exact"/>
        <w:ind w:left="0" w:lef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本合同未尽事宜，凡需对本合同条款进行修改，应经双方协商后以补充协议方式明确。</w:t>
      </w:r>
    </w:p>
    <w:p w14:paraId="45ED823A">
      <w:pPr>
        <w:pageBreakBefore w:val="0"/>
        <w:kinsoku/>
        <w:wordWrap/>
        <w:overflowPunct/>
        <w:topLinePunct w:val="0"/>
        <w:autoSpaceDE/>
        <w:autoSpaceDN/>
        <w:bidi w:val="0"/>
        <w:spacing w:line="460" w:lineRule="exact"/>
        <w:ind w:firstLine="480"/>
        <w:jc w:val="center"/>
        <w:textAlignment w:val="auto"/>
        <w:rPr>
          <w:rFonts w:hint="eastAsia" w:ascii="宋体" w:hAnsi="宋体" w:eastAsia="宋体" w:cs="宋体"/>
          <w:color w:val="auto"/>
          <w:sz w:val="28"/>
          <w:szCs w:val="28"/>
          <w:highlight w:val="none"/>
        </w:rPr>
      </w:pPr>
    </w:p>
    <w:p w14:paraId="4C5EAA31">
      <w:pPr>
        <w:pageBreakBefore w:val="0"/>
        <w:kinsoku/>
        <w:wordWrap/>
        <w:overflowPunct/>
        <w:topLinePunct w:val="0"/>
        <w:autoSpaceDE/>
        <w:autoSpaceDN/>
        <w:bidi w:val="0"/>
        <w:spacing w:line="460" w:lineRule="exact"/>
        <w:ind w:firstLine="480"/>
        <w:jc w:val="center"/>
        <w:textAlignment w:val="auto"/>
        <w:rPr>
          <w:rFonts w:hint="eastAsia" w:ascii="宋体" w:hAnsi="宋体" w:eastAsia="宋体" w:cs="宋体"/>
          <w:color w:val="auto"/>
          <w:sz w:val="28"/>
          <w:szCs w:val="28"/>
          <w:highlight w:val="none"/>
        </w:rPr>
      </w:pPr>
    </w:p>
    <w:p w14:paraId="32E5E825">
      <w:pPr>
        <w:pageBreakBefore w:val="0"/>
        <w:kinsoku/>
        <w:wordWrap/>
        <w:overflowPunct/>
        <w:topLinePunct w:val="0"/>
        <w:autoSpaceDE/>
        <w:autoSpaceDN/>
        <w:bidi w:val="0"/>
        <w:spacing w:line="460" w:lineRule="exact"/>
        <w:ind w:firstLine="48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（以下无正文）</w:t>
      </w:r>
    </w:p>
    <w:p w14:paraId="1B813599">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default" w:ascii="宋体" w:hAnsi="宋体" w:eastAsia="宋体" w:cs="宋体"/>
          <w:color w:val="auto"/>
          <w:sz w:val="28"/>
          <w:szCs w:val="28"/>
          <w:highlight w:val="none"/>
          <w:lang w:val="en-US" w:eastAsia="zh-CN"/>
        </w:rPr>
      </w:pPr>
    </w:p>
    <w:p w14:paraId="36205FD2">
      <w:pPr>
        <w:adjustRightInd w:val="0"/>
        <w:snapToGrid w:val="0"/>
        <w:spacing w:line="500" w:lineRule="exact"/>
        <w:jc w:val="center"/>
        <w:outlineLvl w:val="0"/>
        <w:rPr>
          <w:rFonts w:hint="eastAsia" w:ascii="宋体" w:hAnsi="宋体" w:eastAsia="宋体" w:cs="宋体"/>
          <w:bCs/>
          <w:color w:val="auto"/>
          <w:sz w:val="36"/>
          <w:szCs w:val="36"/>
          <w:highlight w:val="none"/>
        </w:rPr>
      </w:pPr>
    </w:p>
    <w:p w14:paraId="66A60704">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
          <w:color w:val="auto"/>
          <w:sz w:val="36"/>
          <w:szCs w:val="36"/>
          <w:highlight w:val="none"/>
        </w:rPr>
        <w:t>第三部分  项目需求</w:t>
      </w:r>
    </w:p>
    <w:p w14:paraId="0872184D">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color w:val="auto"/>
          <w:sz w:val="36"/>
          <w:szCs w:val="36"/>
          <w:highlight w:val="none"/>
        </w:rPr>
      </w:pPr>
      <w:r>
        <w:rPr>
          <w:rFonts w:hint="eastAsia" w:ascii="宋体" w:hAnsi="宋体" w:eastAsia="宋体" w:cs="宋体"/>
          <w:b/>
          <w:bCs/>
          <w:color w:val="auto"/>
          <w:sz w:val="28"/>
          <w:szCs w:val="28"/>
          <w:highlight w:val="none"/>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bookmarkEnd w:id="0"/>
      <w:bookmarkEnd w:id="1"/>
      <w:bookmarkEnd w:id="2"/>
    </w:p>
    <w:p w14:paraId="3089AEF7">
      <w:pPr>
        <w:keepNext w:val="0"/>
        <w:keepLines w:val="0"/>
        <w:pageBreakBefore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Start w:id="112" w:name="OLE_LINK10"/>
      <w:r>
        <w:rPr>
          <w:rFonts w:hint="eastAsia" w:ascii="宋体" w:hAnsi="宋体" w:eastAsia="宋体" w:cs="宋体"/>
          <w:b/>
          <w:color w:val="auto"/>
          <w:sz w:val="28"/>
          <w:szCs w:val="28"/>
          <w:highlight w:val="none"/>
        </w:rPr>
        <w:t>南通</w:t>
      </w:r>
      <w:r>
        <w:rPr>
          <w:rFonts w:hint="eastAsia" w:ascii="宋体" w:hAnsi="宋体" w:eastAsia="宋体" w:cs="宋体"/>
          <w:b/>
          <w:color w:val="auto"/>
          <w:sz w:val="28"/>
          <w:szCs w:val="28"/>
          <w:highlight w:val="none"/>
          <w:lang w:val="en-US" w:eastAsia="zh-CN"/>
        </w:rPr>
        <w:t>市水产品养殖滥用药专项整治检测</w:t>
      </w:r>
      <w:r>
        <w:rPr>
          <w:rFonts w:hint="eastAsia" w:ascii="宋体" w:hAnsi="宋体" w:eastAsia="宋体" w:cs="宋体"/>
          <w:b/>
          <w:color w:val="auto"/>
          <w:sz w:val="28"/>
          <w:szCs w:val="28"/>
          <w:highlight w:val="none"/>
        </w:rPr>
        <w:t>计划</w:t>
      </w:r>
      <w:bookmarkEnd w:id="112"/>
    </w:p>
    <w:p w14:paraId="0E533CB4">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水产品共抽检720批次。</w:t>
      </w:r>
      <w:r>
        <w:rPr>
          <w:rFonts w:hint="eastAsia" w:ascii="宋体" w:hAnsi="宋体" w:eastAsia="宋体" w:cs="宋体"/>
          <w:b/>
          <w:bCs/>
          <w:color w:val="auto"/>
          <w:sz w:val="28"/>
          <w:szCs w:val="28"/>
          <w:highlight w:val="none"/>
        </w:rPr>
        <w:t>每月随机抽检重点问题水产品（及）60批次，持续12个月，重点抽检鳊鱼、黄鳝、泥鳅、牛蛙和鲫鱼、乌鳢、大口黑鲈，覆盖10个县（市、区）</w:t>
      </w:r>
      <w:r>
        <w:rPr>
          <w:rFonts w:hint="eastAsia" w:ascii="宋体" w:hAnsi="宋体" w:eastAsia="宋体" w:cs="宋体"/>
          <w:b/>
          <w:bCs/>
          <w:color w:val="auto"/>
          <w:sz w:val="28"/>
          <w:szCs w:val="28"/>
          <w:highlight w:val="none"/>
          <w:lang w:val="en-US" w:eastAsia="zh-CN"/>
        </w:rPr>
        <w:t>（主要为南通经济技术开发区、崇川区、苏锡通园区、通州湾示范区、启东市、海门区、通州区、如东县、如皋市、海安市）的农贸市场</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每个农贸市</w:t>
      </w:r>
      <w:r>
        <w:rPr>
          <w:rFonts w:hint="eastAsia" w:ascii="宋体" w:hAnsi="宋体" w:cs="宋体"/>
          <w:b/>
          <w:bCs/>
          <w:color w:val="auto"/>
          <w:sz w:val="28"/>
          <w:szCs w:val="28"/>
          <w:highlight w:val="none"/>
          <w:lang w:val="en-US" w:eastAsia="zh-CN"/>
        </w:rPr>
        <w:t>场原则上不超过3</w:t>
      </w:r>
      <w:r>
        <w:rPr>
          <w:rFonts w:hint="eastAsia" w:ascii="宋体" w:hAnsi="宋体" w:eastAsia="宋体" w:cs="宋体"/>
          <w:b/>
          <w:bCs/>
          <w:color w:val="auto"/>
          <w:sz w:val="28"/>
          <w:szCs w:val="28"/>
          <w:highlight w:val="none"/>
          <w:lang w:val="en-US" w:eastAsia="zh-CN"/>
        </w:rPr>
        <w:t>个样品，每个月鳊鱼、黄鳝、泥鳅、牛蛙抽样数量不少于30个，</w:t>
      </w:r>
      <w:r>
        <w:rPr>
          <w:rFonts w:hint="eastAsia" w:ascii="宋体" w:hAnsi="宋体" w:eastAsia="宋体" w:cs="宋体"/>
          <w:b/>
          <w:bCs/>
          <w:color w:val="auto"/>
          <w:sz w:val="28"/>
          <w:szCs w:val="28"/>
          <w:highlight w:val="none"/>
        </w:rPr>
        <w:t>请仔细研究。</w:t>
      </w:r>
    </w:p>
    <w:p w14:paraId="0BB68506">
      <w:pPr>
        <w:widowControl/>
        <w:autoSpaceDN w:val="0"/>
        <w:spacing w:line="240" w:lineRule="atLeast"/>
        <w:ind w:left="840"/>
        <w:jc w:val="left"/>
        <w:textAlignment w:val="baseline"/>
        <w:rPr>
          <w:rFonts w:hint="eastAsia" w:ascii="宋体" w:hAnsi="宋体" w:eastAsia="宋体" w:cs="宋体"/>
          <w:bCs/>
          <w:color w:val="auto"/>
          <w:sz w:val="36"/>
          <w:szCs w:val="36"/>
          <w:highlight w:val="none"/>
          <w:lang w:bidi="ar"/>
        </w:rPr>
      </w:pPr>
      <w:r>
        <w:rPr>
          <w:rFonts w:hint="eastAsia" w:ascii="宋体" w:hAnsi="宋体" w:eastAsia="宋体" w:cs="宋体"/>
          <w:bCs/>
          <w:color w:val="auto"/>
          <w:sz w:val="36"/>
          <w:szCs w:val="36"/>
          <w:highlight w:val="none"/>
          <w:lang w:bidi="ar"/>
        </w:rPr>
        <w:t>水产品质量安全检测方法和判定依据</w:t>
      </w:r>
    </w:p>
    <w:tbl>
      <w:tblPr>
        <w:tblStyle w:val="35"/>
        <w:tblW w:w="899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306"/>
        <w:gridCol w:w="2325"/>
        <w:gridCol w:w="3368"/>
      </w:tblGrid>
      <w:tr w14:paraId="1E8E80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8" w:hRule="atLeast"/>
          <w:jc w:val="center"/>
        </w:trPr>
        <w:tc>
          <w:tcPr>
            <w:tcW w:w="3306" w:type="dxa"/>
            <w:tcBorders>
              <w:top w:val="single" w:color="000000" w:sz="4" w:space="0"/>
              <w:left w:val="single" w:color="000000" w:sz="4" w:space="0"/>
              <w:bottom w:val="single" w:color="000000" w:sz="4" w:space="0"/>
              <w:right w:val="single" w:color="000000" w:sz="4" w:space="0"/>
            </w:tcBorders>
            <w:noWrap w:val="0"/>
            <w:vAlign w:val="center"/>
          </w:tcPr>
          <w:p w14:paraId="1A794EB1">
            <w:pPr>
              <w:widowControl/>
              <w:autoSpaceDN w:val="0"/>
              <w:spacing w:line="280" w:lineRule="exact"/>
              <w:jc w:val="center"/>
              <w:textAlignment w:val="baseline"/>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
              </w:rPr>
              <w:t>监测项目</w:t>
            </w:r>
          </w:p>
        </w:tc>
        <w:tc>
          <w:tcPr>
            <w:tcW w:w="2325" w:type="dxa"/>
            <w:tcBorders>
              <w:top w:val="single" w:color="000000" w:sz="4" w:space="0"/>
              <w:left w:val="nil"/>
              <w:bottom w:val="single" w:color="000000" w:sz="4" w:space="0"/>
              <w:right w:val="single" w:color="000000" w:sz="4" w:space="0"/>
            </w:tcBorders>
            <w:noWrap w:val="0"/>
            <w:vAlign w:val="center"/>
          </w:tcPr>
          <w:p w14:paraId="5F1CB863">
            <w:pPr>
              <w:widowControl/>
              <w:autoSpaceDN w:val="0"/>
              <w:spacing w:line="280" w:lineRule="exact"/>
              <w:jc w:val="center"/>
              <w:textAlignment w:val="baseline"/>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
              </w:rPr>
              <w:t>检测方法</w:t>
            </w:r>
          </w:p>
        </w:tc>
        <w:tc>
          <w:tcPr>
            <w:tcW w:w="3368" w:type="dxa"/>
            <w:tcBorders>
              <w:top w:val="single" w:color="000000" w:sz="4" w:space="0"/>
              <w:left w:val="single" w:color="000000" w:sz="4" w:space="0"/>
              <w:bottom w:val="single" w:color="000000" w:sz="4" w:space="0"/>
              <w:right w:val="single" w:color="000000" w:sz="4" w:space="0"/>
            </w:tcBorders>
            <w:noWrap w:val="0"/>
            <w:vAlign w:val="center"/>
          </w:tcPr>
          <w:p w14:paraId="1A57E879">
            <w:pPr>
              <w:widowControl/>
              <w:autoSpaceDN w:val="0"/>
              <w:spacing w:line="280" w:lineRule="exact"/>
              <w:jc w:val="center"/>
              <w:textAlignment w:val="baseline"/>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
              </w:rPr>
              <w:t>判定</w:t>
            </w:r>
            <w:r>
              <w:rPr>
                <w:rFonts w:hint="eastAsia" w:ascii="宋体" w:hAnsi="宋体" w:eastAsia="宋体" w:cs="宋体"/>
                <w:bCs/>
                <w:color w:val="auto"/>
                <w:sz w:val="24"/>
                <w:szCs w:val="24"/>
                <w:highlight w:val="none"/>
                <w:lang w:val="en-US" w:eastAsia="zh-CN" w:bidi="ar"/>
              </w:rPr>
              <w:t>限量</w:t>
            </w:r>
            <w:r>
              <w:rPr>
                <w:rFonts w:hint="eastAsia" w:ascii="宋体" w:hAnsi="宋体" w:eastAsia="宋体" w:cs="宋体"/>
                <w:bCs/>
                <w:color w:val="auto"/>
                <w:sz w:val="24"/>
                <w:szCs w:val="24"/>
                <w:highlight w:val="none"/>
                <w:lang w:bidi="ar"/>
              </w:rPr>
              <w:t>（µg/kg）</w:t>
            </w:r>
          </w:p>
        </w:tc>
      </w:tr>
      <w:tr w14:paraId="51390F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016" w:hRule="exact"/>
          <w:jc w:val="center"/>
        </w:trPr>
        <w:tc>
          <w:tcPr>
            <w:tcW w:w="3306" w:type="dxa"/>
            <w:tcBorders>
              <w:top w:val="nil"/>
              <w:left w:val="single" w:color="000000" w:sz="4" w:space="0"/>
              <w:bottom w:val="single" w:color="000000" w:sz="4" w:space="0"/>
              <w:right w:val="single" w:color="000000" w:sz="4" w:space="0"/>
            </w:tcBorders>
            <w:noWrap w:val="0"/>
            <w:vAlign w:val="center"/>
          </w:tcPr>
          <w:p w14:paraId="7FA9DE01">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孔雀石绿（包括有色孔雀石绿和无色孔雀石绿）</w:t>
            </w:r>
          </w:p>
        </w:tc>
        <w:tc>
          <w:tcPr>
            <w:tcW w:w="2325" w:type="dxa"/>
            <w:tcBorders>
              <w:top w:val="nil"/>
              <w:left w:val="nil"/>
              <w:bottom w:val="single" w:color="000000" w:sz="4" w:space="0"/>
              <w:right w:val="single" w:color="000000" w:sz="4" w:space="0"/>
            </w:tcBorders>
            <w:noWrap w:val="0"/>
            <w:vAlign w:val="center"/>
          </w:tcPr>
          <w:p w14:paraId="22F9468E">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GB/T 20361-2006</w:t>
            </w:r>
            <w:r>
              <w:rPr>
                <w:rFonts w:hint="eastAsia" w:ascii="宋体" w:hAnsi="宋体" w:eastAsia="宋体" w:cs="宋体"/>
                <w:color w:val="auto"/>
                <w:sz w:val="24"/>
                <w:szCs w:val="24"/>
                <w:highlight w:val="none"/>
                <w:lang w:eastAsia="zh-CN" w:bidi="ar"/>
              </w:rPr>
              <w:t>、</w:t>
            </w:r>
          </w:p>
          <w:p w14:paraId="5E4A0BAF">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GB/T 19857-2005</w:t>
            </w:r>
          </w:p>
        </w:tc>
        <w:tc>
          <w:tcPr>
            <w:tcW w:w="3368" w:type="dxa"/>
            <w:tcBorders>
              <w:top w:val="nil"/>
              <w:left w:val="nil"/>
              <w:bottom w:val="single" w:color="000000" w:sz="4" w:space="0"/>
              <w:right w:val="single" w:color="000000" w:sz="4" w:space="0"/>
            </w:tcBorders>
            <w:noWrap w:val="0"/>
            <w:vAlign w:val="center"/>
          </w:tcPr>
          <w:p w14:paraId="623664E4">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不得检出（判定限：1.0</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有色孔雀石绿和无色孔雀石绿的总量</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w:t>
            </w:r>
          </w:p>
        </w:tc>
      </w:tr>
      <w:tr w14:paraId="18D85D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078" w:hRule="exact"/>
          <w:jc w:val="center"/>
        </w:trPr>
        <w:tc>
          <w:tcPr>
            <w:tcW w:w="3306" w:type="dxa"/>
            <w:tcBorders>
              <w:top w:val="nil"/>
              <w:left w:val="single" w:color="000000" w:sz="4" w:space="0"/>
              <w:bottom w:val="single" w:color="000000" w:sz="4" w:space="0"/>
              <w:right w:val="single" w:color="000000" w:sz="4" w:space="0"/>
            </w:tcBorders>
            <w:noWrap w:val="0"/>
            <w:vAlign w:val="center"/>
          </w:tcPr>
          <w:p w14:paraId="5A573D8D">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硝基呋喃类代谢物（呋喃唑酮代谢物、呋喃它酮代谢物</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呋喃西林代谢物、呋喃妥因代谢物）</w:t>
            </w:r>
          </w:p>
        </w:tc>
        <w:tc>
          <w:tcPr>
            <w:tcW w:w="2325" w:type="dxa"/>
            <w:tcBorders>
              <w:top w:val="nil"/>
              <w:left w:val="nil"/>
              <w:bottom w:val="single" w:color="000000" w:sz="4" w:space="0"/>
              <w:right w:val="single" w:color="000000" w:sz="4" w:space="0"/>
            </w:tcBorders>
            <w:noWrap w:val="0"/>
            <w:vAlign w:val="center"/>
          </w:tcPr>
          <w:p w14:paraId="2E6ED6F4">
            <w:pPr>
              <w:widowControl/>
              <w:autoSpaceDN w:val="0"/>
              <w:spacing w:line="280" w:lineRule="exact"/>
              <w:ind w:left="0" w:leftChars="0" w:firstLine="0" w:firstLineChars="0"/>
              <w:jc w:val="left"/>
              <w:textAlignment w:val="baseline"/>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GB 31656.13-2021</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lang w:bidi="ar"/>
              </w:rPr>
              <w:t xml:space="preserve">农业部783号公告-1-2006 </w:t>
            </w:r>
          </w:p>
        </w:tc>
        <w:tc>
          <w:tcPr>
            <w:tcW w:w="3368" w:type="dxa"/>
            <w:tcBorders>
              <w:top w:val="nil"/>
              <w:left w:val="nil"/>
              <w:bottom w:val="single" w:color="000000" w:sz="4" w:space="0"/>
              <w:right w:val="single" w:color="000000" w:sz="4" w:space="0"/>
            </w:tcBorders>
            <w:noWrap w:val="0"/>
            <w:vAlign w:val="center"/>
          </w:tcPr>
          <w:p w14:paraId="377FAE73">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不得检出（判定限：1.0）</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虾蟹类呋喃西林代谢物SEM不作判定</w:t>
            </w:r>
            <w:r>
              <w:rPr>
                <w:rFonts w:hint="eastAsia" w:ascii="宋体" w:hAnsi="宋体" w:eastAsia="宋体" w:cs="宋体"/>
                <w:color w:val="auto"/>
                <w:sz w:val="24"/>
                <w:szCs w:val="24"/>
                <w:highlight w:val="none"/>
                <w:lang w:eastAsia="zh-CN" w:bidi="ar"/>
              </w:rPr>
              <w:t>）</w:t>
            </w:r>
          </w:p>
        </w:tc>
      </w:tr>
      <w:tr w14:paraId="086810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67" w:hRule="exact"/>
          <w:jc w:val="center"/>
        </w:trPr>
        <w:tc>
          <w:tcPr>
            <w:tcW w:w="3306" w:type="dxa"/>
            <w:tcBorders>
              <w:top w:val="nil"/>
              <w:left w:val="single" w:color="000000" w:sz="4" w:space="0"/>
              <w:bottom w:val="single" w:color="000000" w:sz="4" w:space="0"/>
              <w:right w:val="single" w:color="000000" w:sz="4" w:space="0"/>
            </w:tcBorders>
            <w:noWrap w:val="0"/>
            <w:vAlign w:val="center"/>
          </w:tcPr>
          <w:p w14:paraId="75159C43">
            <w:pPr>
              <w:widowControl/>
              <w:autoSpaceDN w:val="0"/>
              <w:spacing w:line="280" w:lineRule="exact"/>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shd w:val="clear" w:color="auto" w:fill="auto"/>
                <w:lang w:bidi="ar"/>
              </w:rPr>
              <w:t>地西泮</w:t>
            </w:r>
            <w:r>
              <w:rPr>
                <w:rFonts w:hint="eastAsia" w:ascii="宋体" w:hAnsi="宋体" w:eastAsia="宋体" w:cs="宋体"/>
                <w:color w:val="auto"/>
                <w:sz w:val="24"/>
                <w:szCs w:val="24"/>
                <w:highlight w:val="none"/>
                <w:shd w:val="clear" w:color="auto" w:fill="auto"/>
                <w:lang w:eastAsia="zh-CN" w:bidi="ar"/>
              </w:rPr>
              <w:t>（</w:t>
            </w:r>
            <w:r>
              <w:rPr>
                <w:rFonts w:hint="eastAsia" w:ascii="宋体" w:hAnsi="宋体" w:eastAsia="宋体" w:cs="宋体"/>
                <w:color w:val="auto"/>
                <w:sz w:val="24"/>
                <w:szCs w:val="24"/>
                <w:highlight w:val="none"/>
                <w:shd w:val="clear" w:color="auto" w:fill="auto"/>
                <w:lang w:val="en-US" w:eastAsia="zh-CN" w:bidi="ar"/>
              </w:rPr>
              <w:t>仅淡水鱼</w:t>
            </w:r>
            <w:r>
              <w:rPr>
                <w:rFonts w:hint="eastAsia" w:ascii="宋体" w:hAnsi="宋体" w:eastAsia="宋体" w:cs="宋体"/>
                <w:color w:val="auto"/>
                <w:sz w:val="24"/>
                <w:szCs w:val="24"/>
                <w:highlight w:val="none"/>
                <w:shd w:val="clear" w:color="auto" w:fill="auto"/>
                <w:lang w:eastAsia="zh-CN" w:bidi="ar"/>
              </w:rPr>
              <w:t>）</w:t>
            </w:r>
          </w:p>
        </w:tc>
        <w:tc>
          <w:tcPr>
            <w:tcW w:w="2325" w:type="dxa"/>
            <w:tcBorders>
              <w:top w:val="nil"/>
              <w:left w:val="nil"/>
              <w:bottom w:val="single" w:color="000000" w:sz="4" w:space="0"/>
              <w:right w:val="single" w:color="000000" w:sz="4" w:space="0"/>
            </w:tcBorders>
            <w:noWrap w:val="0"/>
            <w:vAlign w:val="center"/>
          </w:tcPr>
          <w:p w14:paraId="1D21EE68">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SN/T3235-2012 </w:t>
            </w:r>
          </w:p>
        </w:tc>
        <w:tc>
          <w:tcPr>
            <w:tcW w:w="3368" w:type="dxa"/>
            <w:tcBorders>
              <w:top w:val="nil"/>
              <w:left w:val="nil"/>
              <w:bottom w:val="single" w:color="000000" w:sz="4" w:space="0"/>
              <w:right w:val="single" w:color="000000" w:sz="4" w:space="0"/>
            </w:tcBorders>
            <w:noWrap w:val="0"/>
            <w:vAlign w:val="center"/>
          </w:tcPr>
          <w:p w14:paraId="3BCDB3DF">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不得检出（判定限量值：0.5）</w:t>
            </w:r>
          </w:p>
        </w:tc>
      </w:tr>
      <w:tr w14:paraId="0B3B8F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270" w:hRule="atLeast"/>
          <w:jc w:val="center"/>
        </w:trPr>
        <w:tc>
          <w:tcPr>
            <w:tcW w:w="3306" w:type="dxa"/>
            <w:tcBorders>
              <w:top w:val="nil"/>
              <w:left w:val="single" w:color="000000" w:sz="4" w:space="0"/>
              <w:bottom w:val="single" w:color="000000" w:sz="4" w:space="0"/>
              <w:right w:val="single" w:color="000000" w:sz="4" w:space="0"/>
            </w:tcBorders>
            <w:noWrap w:val="0"/>
            <w:vAlign w:val="center"/>
          </w:tcPr>
          <w:p w14:paraId="4BE26968">
            <w:pPr>
              <w:widowControl/>
              <w:autoSpaceDN w:val="0"/>
              <w:spacing w:line="2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酰胺醇类（氯霉素</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甲砜霉素、氟苯尼考、氟苯尼考胺）</w:t>
            </w:r>
          </w:p>
        </w:tc>
        <w:tc>
          <w:tcPr>
            <w:tcW w:w="2325" w:type="dxa"/>
            <w:tcBorders>
              <w:top w:val="nil"/>
              <w:left w:val="nil"/>
              <w:bottom w:val="single" w:color="000000" w:sz="4" w:space="0"/>
              <w:right w:val="single" w:color="000000" w:sz="4" w:space="0"/>
            </w:tcBorders>
            <w:noWrap w:val="0"/>
            <w:vAlign w:val="center"/>
          </w:tcPr>
          <w:p w14:paraId="418C68A3">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GB/T 20756-2006</w:t>
            </w:r>
            <w:r>
              <w:rPr>
                <w:rFonts w:hint="eastAsia" w:ascii="宋体" w:hAnsi="宋体" w:eastAsia="宋体" w:cs="宋体"/>
                <w:color w:val="auto"/>
                <w:sz w:val="24"/>
                <w:szCs w:val="24"/>
                <w:highlight w:val="none"/>
                <w:lang w:val="en-US" w:eastAsia="zh-CN" w:bidi="ar"/>
              </w:rPr>
              <w:t>、</w:t>
            </w:r>
          </w:p>
          <w:p w14:paraId="3DF618F8">
            <w:pPr>
              <w:widowControl/>
              <w:autoSpaceDN w:val="0"/>
              <w:spacing w:line="280" w:lineRule="exact"/>
              <w:ind w:left="0" w:leftChars="0" w:firstLine="0" w:firstLineChars="0"/>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GB/T22338-2008</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SN/T 1865-2006</w:t>
            </w:r>
          </w:p>
        </w:tc>
        <w:tc>
          <w:tcPr>
            <w:tcW w:w="3368" w:type="dxa"/>
            <w:tcBorders>
              <w:top w:val="nil"/>
              <w:left w:val="nil"/>
              <w:bottom w:val="single" w:color="000000" w:sz="4" w:space="0"/>
              <w:right w:val="single" w:color="000000" w:sz="4" w:space="0"/>
            </w:tcBorders>
            <w:noWrap w:val="0"/>
            <w:vAlign w:val="center"/>
          </w:tcPr>
          <w:p w14:paraId="19267D54">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氯霉素</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不得检出（判定限：0.</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甲砜霉素：50</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氟苯尼考和氟苯尼考胺总量：1000</w:t>
            </w:r>
          </w:p>
        </w:tc>
      </w:tr>
      <w:tr w14:paraId="0D3A37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62" w:hRule="atLeast"/>
          <w:jc w:val="center"/>
        </w:trPr>
        <w:tc>
          <w:tcPr>
            <w:tcW w:w="3306" w:type="dxa"/>
            <w:tcBorders>
              <w:top w:val="nil"/>
              <w:left w:val="single" w:color="000000" w:sz="4" w:space="0"/>
              <w:bottom w:val="single" w:color="000000" w:sz="4" w:space="0"/>
              <w:right w:val="single" w:color="000000" w:sz="4" w:space="0"/>
            </w:tcBorders>
            <w:noWrap w:val="0"/>
            <w:vAlign w:val="center"/>
          </w:tcPr>
          <w:p w14:paraId="0753662F">
            <w:pPr>
              <w:widowControl/>
              <w:autoSpaceDN w:val="0"/>
              <w:spacing w:line="2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氟喹诺酮类（诺氟沙星、氧氟沙星、培氟沙星、洛美沙星</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恩诺沙星、环丙沙星）</w:t>
            </w:r>
          </w:p>
        </w:tc>
        <w:tc>
          <w:tcPr>
            <w:tcW w:w="2325" w:type="dxa"/>
            <w:tcBorders>
              <w:top w:val="nil"/>
              <w:left w:val="nil"/>
              <w:bottom w:val="single" w:color="000000" w:sz="4" w:space="0"/>
              <w:right w:val="single" w:color="000000" w:sz="4" w:space="0"/>
            </w:tcBorders>
            <w:noWrap w:val="0"/>
            <w:vAlign w:val="center"/>
          </w:tcPr>
          <w:p w14:paraId="5EF40309">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农业部1077号公告-1</w:t>
            </w:r>
          </w:p>
          <w:p w14:paraId="2F7850DE">
            <w:pPr>
              <w:widowControl/>
              <w:autoSpaceDN w:val="0"/>
              <w:spacing w:line="2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-2008</w:t>
            </w:r>
          </w:p>
        </w:tc>
        <w:tc>
          <w:tcPr>
            <w:tcW w:w="3368" w:type="dxa"/>
            <w:tcBorders>
              <w:top w:val="nil"/>
              <w:left w:val="nil"/>
              <w:bottom w:val="single" w:color="000000" w:sz="4" w:space="0"/>
              <w:right w:val="single" w:color="000000" w:sz="4" w:space="0"/>
            </w:tcBorders>
            <w:noWrap w:val="0"/>
            <w:vAlign w:val="center"/>
          </w:tcPr>
          <w:p w14:paraId="19960592">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诺氟沙星、氧氟沙星、培氟沙星、洛美沙星</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食用动物中停止使用，</w:t>
            </w:r>
            <w:r>
              <w:rPr>
                <w:rFonts w:hint="eastAsia" w:ascii="宋体" w:hAnsi="宋体" w:eastAsia="宋体" w:cs="宋体"/>
                <w:color w:val="auto"/>
                <w:sz w:val="24"/>
                <w:szCs w:val="24"/>
                <w:highlight w:val="none"/>
                <w:lang w:bidi="ar"/>
              </w:rPr>
              <w:t>不得检出</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判定限：2.0</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恩诺沙星</w:t>
            </w:r>
            <w:r>
              <w:rPr>
                <w:rFonts w:hint="eastAsia" w:ascii="宋体" w:hAnsi="宋体" w:eastAsia="宋体" w:cs="宋体"/>
                <w:color w:val="auto"/>
                <w:sz w:val="24"/>
                <w:szCs w:val="24"/>
                <w:highlight w:val="none"/>
                <w:lang w:val="en-US" w:eastAsia="zh-CN" w:bidi="ar"/>
              </w:rPr>
              <w:t>与</w:t>
            </w:r>
            <w:r>
              <w:rPr>
                <w:rFonts w:hint="eastAsia" w:ascii="宋体" w:hAnsi="宋体" w:eastAsia="宋体" w:cs="宋体"/>
                <w:color w:val="auto"/>
                <w:sz w:val="24"/>
                <w:szCs w:val="24"/>
                <w:highlight w:val="none"/>
                <w:lang w:bidi="ar"/>
              </w:rPr>
              <w:t>环丙沙星</w:t>
            </w:r>
            <w:r>
              <w:rPr>
                <w:rFonts w:hint="eastAsia" w:ascii="宋体" w:hAnsi="宋体" w:eastAsia="宋体" w:cs="宋体"/>
                <w:color w:val="auto"/>
                <w:sz w:val="24"/>
                <w:szCs w:val="24"/>
                <w:highlight w:val="none"/>
                <w:lang w:val="en-US" w:eastAsia="zh-CN" w:bidi="ar"/>
              </w:rPr>
              <w:t>之和：100</w:t>
            </w:r>
          </w:p>
        </w:tc>
      </w:tr>
      <w:tr w14:paraId="19580E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30" w:hRule="atLeast"/>
          <w:jc w:val="center"/>
        </w:trPr>
        <w:tc>
          <w:tcPr>
            <w:tcW w:w="3306" w:type="dxa"/>
            <w:tcBorders>
              <w:top w:val="nil"/>
              <w:left w:val="single" w:color="000000" w:sz="4" w:space="0"/>
              <w:bottom w:val="single" w:color="000000" w:sz="4" w:space="0"/>
              <w:right w:val="single" w:color="000000" w:sz="4" w:space="0"/>
            </w:tcBorders>
            <w:noWrap w:val="0"/>
            <w:vAlign w:val="center"/>
          </w:tcPr>
          <w:p w14:paraId="45279F70">
            <w:pPr>
              <w:widowControl/>
              <w:autoSpaceDN w:val="0"/>
              <w:spacing w:line="2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磺胺类（磺胺嘧啶、磺胺二甲基嘧啶、磺胺甲基异噁唑、磺胺异噁唑、磺胺间二甲氧嘧啶</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highlight w:val="none"/>
                <w:lang w:bidi="ar"/>
              </w:rPr>
              <w:t>磺胺噻唑、磺胺甲基嘧啶、磺胺多辛、磺胺喹噁啉、磺胺间甲氧嘧啶、磺胺氯哒嗪</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bidi="ar"/>
              </w:rPr>
              <w:t>磺胺甲噻二唑</w:t>
            </w:r>
            <w:r>
              <w:rPr>
                <w:rFonts w:hint="eastAsia" w:ascii="宋体" w:hAnsi="宋体" w:eastAsia="宋体" w:cs="宋体"/>
                <w:color w:val="auto"/>
                <w:sz w:val="24"/>
                <w:highlight w:val="none"/>
                <w:lang w:eastAsia="zh-CN" w:bidi="ar"/>
              </w:rPr>
              <w:t>，</w:t>
            </w:r>
            <w:r>
              <w:rPr>
                <w:rFonts w:hint="eastAsia" w:ascii="宋体" w:hAnsi="宋体" w:eastAsia="宋体" w:cs="宋体"/>
                <w:b/>
                <w:bCs/>
                <w:color w:val="auto"/>
                <w:sz w:val="24"/>
                <w:szCs w:val="24"/>
                <w:highlight w:val="none"/>
                <w:lang w:eastAsia="zh-CN" w:bidi="ar"/>
              </w:rPr>
              <w:t>甲氧苄啶</w:t>
            </w:r>
            <w:r>
              <w:rPr>
                <w:rFonts w:hint="eastAsia" w:ascii="宋体" w:hAnsi="宋体" w:eastAsia="宋体" w:cs="宋体"/>
                <w:color w:val="auto"/>
                <w:sz w:val="24"/>
                <w:szCs w:val="24"/>
                <w:highlight w:val="none"/>
                <w:lang w:bidi="ar"/>
              </w:rPr>
              <w:t>）</w:t>
            </w:r>
          </w:p>
        </w:tc>
        <w:tc>
          <w:tcPr>
            <w:tcW w:w="2325" w:type="dxa"/>
            <w:tcBorders>
              <w:top w:val="nil"/>
              <w:left w:val="nil"/>
              <w:bottom w:val="single" w:color="000000" w:sz="4" w:space="0"/>
              <w:right w:val="single" w:color="000000" w:sz="4" w:space="0"/>
            </w:tcBorders>
            <w:noWrap w:val="0"/>
            <w:vAlign w:val="center"/>
          </w:tcPr>
          <w:p w14:paraId="1A686558">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GB 29702-2013、GB/T 21316-2007、</w:t>
            </w:r>
            <w:r>
              <w:rPr>
                <w:rFonts w:hint="eastAsia" w:ascii="宋体" w:hAnsi="宋体" w:eastAsia="宋体" w:cs="宋体"/>
                <w:color w:val="auto"/>
                <w:sz w:val="24"/>
                <w:szCs w:val="24"/>
                <w:highlight w:val="none"/>
                <w:lang w:bidi="ar"/>
              </w:rPr>
              <w:t>农业部1077号公告-1-</w:t>
            </w:r>
          </w:p>
          <w:p w14:paraId="6DB762CE">
            <w:pPr>
              <w:widowControl/>
              <w:autoSpaceDN w:val="0"/>
              <w:spacing w:line="2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2008</w:t>
            </w:r>
          </w:p>
        </w:tc>
        <w:tc>
          <w:tcPr>
            <w:tcW w:w="3368" w:type="dxa"/>
            <w:tcBorders>
              <w:top w:val="nil"/>
              <w:left w:val="nil"/>
              <w:bottom w:val="single" w:color="000000" w:sz="4" w:space="0"/>
              <w:right w:val="single" w:color="000000" w:sz="4" w:space="0"/>
            </w:tcBorders>
            <w:noWrap w:val="0"/>
            <w:vAlign w:val="center"/>
          </w:tcPr>
          <w:p w14:paraId="39E1EFE0">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磺胺类总量</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100</w:t>
            </w:r>
            <w:r>
              <w:rPr>
                <w:rFonts w:hint="eastAsia" w:ascii="宋体" w:hAnsi="宋体" w:eastAsia="宋体" w:cs="宋体"/>
                <w:color w:val="auto"/>
                <w:sz w:val="24"/>
                <w:szCs w:val="24"/>
                <w:highlight w:val="none"/>
                <w:lang w:eastAsia="zh-CN" w:bidi="ar"/>
              </w:rPr>
              <w:t>；</w:t>
            </w:r>
            <w:r>
              <w:rPr>
                <w:rFonts w:hint="eastAsia" w:ascii="宋体" w:hAnsi="宋体" w:eastAsia="宋体" w:cs="宋体"/>
                <w:b/>
                <w:bCs/>
                <w:color w:val="auto"/>
                <w:sz w:val="24"/>
                <w:szCs w:val="24"/>
                <w:highlight w:val="none"/>
                <w:lang w:eastAsia="zh-CN" w:bidi="ar"/>
              </w:rPr>
              <w:t>甲氧苄啶：</w:t>
            </w:r>
            <w:r>
              <w:rPr>
                <w:rFonts w:hint="eastAsia" w:ascii="宋体" w:hAnsi="宋体" w:eastAsia="宋体" w:cs="宋体"/>
                <w:color w:val="auto"/>
                <w:sz w:val="24"/>
                <w:szCs w:val="24"/>
                <w:highlight w:val="none"/>
                <w:lang w:val="en-US" w:eastAsia="zh-CN" w:bidi="ar"/>
              </w:rPr>
              <w:t>50（</w:t>
            </w:r>
            <w:r>
              <w:rPr>
                <w:rFonts w:hint="eastAsia" w:ascii="宋体" w:hAnsi="宋体" w:eastAsia="宋体" w:cs="宋体"/>
                <w:color w:val="auto"/>
                <w:sz w:val="24"/>
                <w:highlight w:val="none"/>
                <w:lang w:val="en-US" w:eastAsia="zh-CN" w:bidi="ar"/>
              </w:rPr>
              <w:t>牛蛙不</w:t>
            </w:r>
            <w:r>
              <w:rPr>
                <w:rFonts w:hint="eastAsia" w:ascii="宋体" w:hAnsi="宋体" w:eastAsia="宋体" w:cs="宋体"/>
                <w:color w:val="auto"/>
                <w:sz w:val="24"/>
                <w:szCs w:val="24"/>
                <w:highlight w:val="none"/>
                <w:lang w:bidi="ar"/>
              </w:rPr>
              <w:t>作</w:t>
            </w:r>
            <w:r>
              <w:rPr>
                <w:rFonts w:hint="eastAsia" w:ascii="宋体" w:hAnsi="宋体" w:eastAsia="宋体" w:cs="宋体"/>
                <w:color w:val="auto"/>
                <w:sz w:val="24"/>
                <w:highlight w:val="none"/>
                <w:lang w:val="en-US" w:eastAsia="zh-CN" w:bidi="ar"/>
              </w:rPr>
              <w:t>判定</w:t>
            </w:r>
            <w:r>
              <w:rPr>
                <w:rFonts w:hint="eastAsia" w:ascii="宋体" w:hAnsi="宋体" w:eastAsia="宋体" w:cs="宋体"/>
                <w:color w:val="auto"/>
                <w:sz w:val="24"/>
                <w:szCs w:val="24"/>
                <w:highlight w:val="none"/>
                <w:lang w:val="en-US" w:eastAsia="zh-CN" w:bidi="ar"/>
              </w:rPr>
              <w:t>）</w:t>
            </w:r>
          </w:p>
        </w:tc>
      </w:tr>
      <w:tr w14:paraId="7EACDB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4" w:hRule="exact"/>
          <w:jc w:val="center"/>
        </w:trPr>
        <w:tc>
          <w:tcPr>
            <w:tcW w:w="3306" w:type="dxa"/>
            <w:tcBorders>
              <w:top w:val="nil"/>
              <w:left w:val="single" w:color="000000" w:sz="4" w:space="0"/>
              <w:bottom w:val="single" w:color="000000" w:sz="4" w:space="0"/>
              <w:right w:val="single" w:color="000000" w:sz="4" w:space="0"/>
            </w:tcBorders>
            <w:noWrap w:val="0"/>
            <w:vAlign w:val="center"/>
          </w:tcPr>
          <w:p w14:paraId="0A5DD506">
            <w:pPr>
              <w:widowControl/>
              <w:autoSpaceDN w:val="0"/>
              <w:spacing w:line="280" w:lineRule="exact"/>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shd w:val="clear" w:color="auto" w:fill="auto"/>
                <w:lang w:bidi="ar"/>
              </w:rPr>
              <w:t>四环素类</w:t>
            </w:r>
            <w:r>
              <w:rPr>
                <w:rFonts w:hint="eastAsia" w:ascii="宋体" w:hAnsi="宋体" w:eastAsia="宋体" w:cs="宋体"/>
                <w:color w:val="auto"/>
                <w:sz w:val="24"/>
                <w:szCs w:val="24"/>
                <w:highlight w:val="none"/>
                <w:lang w:bidi="ar"/>
              </w:rPr>
              <w:t>（四环素、土霉素、金霉素、多西环素</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强力霉素</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w:t>
            </w:r>
          </w:p>
        </w:tc>
        <w:tc>
          <w:tcPr>
            <w:tcW w:w="2325" w:type="dxa"/>
            <w:tcBorders>
              <w:top w:val="nil"/>
              <w:left w:val="nil"/>
              <w:bottom w:val="single" w:color="000000" w:sz="4" w:space="0"/>
              <w:right w:val="single" w:color="000000" w:sz="4" w:space="0"/>
            </w:tcBorders>
            <w:noWrap w:val="0"/>
            <w:vAlign w:val="center"/>
          </w:tcPr>
          <w:p w14:paraId="631A2562">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GB/T 21317-2007</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GB 31656.11-2021</w:t>
            </w:r>
          </w:p>
        </w:tc>
        <w:tc>
          <w:tcPr>
            <w:tcW w:w="3368" w:type="dxa"/>
            <w:tcBorders>
              <w:top w:val="nil"/>
              <w:left w:val="nil"/>
              <w:bottom w:val="single" w:color="000000" w:sz="4" w:space="0"/>
              <w:right w:val="single" w:color="000000" w:sz="4" w:space="0"/>
            </w:tcBorders>
            <w:noWrap w:val="0"/>
            <w:vAlign w:val="center"/>
          </w:tcPr>
          <w:p w14:paraId="7A16ADE3">
            <w:pPr>
              <w:widowControl/>
              <w:autoSpaceDN w:val="0"/>
              <w:spacing w:line="280" w:lineRule="exact"/>
              <w:ind w:left="0" w:leftChars="0" w:firstLine="0" w:firstLineChars="0"/>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四环素、土霉素、金霉素</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200</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多西环素</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100</w:t>
            </w:r>
          </w:p>
        </w:tc>
      </w:tr>
    </w:tbl>
    <w:p w14:paraId="040ABD52">
      <w:pPr>
        <w:keepLines w:val="0"/>
        <w:pageBreakBefore w:val="0"/>
        <w:widowControl/>
        <w:tabs>
          <w:tab w:val="left" w:pos="556"/>
        </w:tabs>
        <w:kinsoku/>
        <w:wordWrap/>
        <w:overflowPunct/>
        <w:topLinePunct w:val="0"/>
        <w:autoSpaceDE/>
        <w:autoSpaceDN w:val="0"/>
        <w:bidi w:val="0"/>
        <w:spacing w:line="460" w:lineRule="exact"/>
        <w:ind w:left="420" w:leftChars="0" w:firstLine="0" w:firstLineChars="0"/>
        <w:jc w:val="left"/>
        <w:textAlignment w:val="baseline"/>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注：国家现行有效方法也可以使用，但方法最低检出限必须满足判定依据限量值。</w:t>
      </w:r>
    </w:p>
    <w:p w14:paraId="1EDFA76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二、委托检测要求</w:t>
      </w:r>
    </w:p>
    <w:p w14:paraId="071BE7A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（1）抽样监测中要加大对高风险品种的抽检频次，抽样时注重结合区域性、季节性、时令性特点，坚持问题导向的原则。</w:t>
      </w:r>
    </w:p>
    <w:p w14:paraId="3B8901E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（2）抽样要求，</w:t>
      </w:r>
      <w:r>
        <w:rPr>
          <w:rFonts w:hint="eastAsia" w:ascii="宋体" w:hAnsi="宋体" w:eastAsia="宋体" w:cs="宋体"/>
          <w:color w:val="auto"/>
          <w:sz w:val="28"/>
          <w:szCs w:val="28"/>
          <w:highlight w:val="none"/>
          <w:lang w:val="en-US" w:eastAsia="zh-CN"/>
        </w:rPr>
        <w:t>中标人</w:t>
      </w:r>
      <w:r>
        <w:rPr>
          <w:rFonts w:hint="eastAsia" w:ascii="宋体" w:hAnsi="宋体" w:eastAsia="宋体" w:cs="宋体"/>
          <w:color w:val="auto"/>
          <w:sz w:val="28"/>
          <w:szCs w:val="28"/>
          <w:highlight w:val="none"/>
        </w:rPr>
        <w:t>需按照202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年度江苏省农业农村厅下发的农产品质量安全监测方案的通知等要求执行</w:t>
      </w:r>
      <w:r>
        <w:rPr>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于每个月第一周完成抽样任务，提供样品移动支付凭证、采样照片和对应的农贸市场与商户信息，</w:t>
      </w:r>
      <w:r>
        <w:rPr>
          <w:rFonts w:hint="eastAsia" w:ascii="宋体" w:hAnsi="宋体" w:eastAsia="宋体" w:cs="宋体"/>
          <w:b/>
          <w:bCs/>
          <w:color w:val="auto"/>
          <w:sz w:val="28"/>
          <w:szCs w:val="28"/>
          <w:highlight w:val="none"/>
        </w:rPr>
        <w:t>每次采样后</w:t>
      </w:r>
      <w:r>
        <w:rPr>
          <w:rFonts w:hint="eastAsia" w:ascii="宋体" w:hAnsi="宋体" w:eastAsia="宋体" w:cs="宋体"/>
          <w:b/>
          <w:bCs/>
          <w:color w:val="auto"/>
          <w:sz w:val="28"/>
          <w:szCs w:val="28"/>
          <w:highlight w:val="none"/>
          <w:lang w:val="en-US" w:eastAsia="zh-CN"/>
        </w:rPr>
        <w:t>5个日历天</w:t>
      </w:r>
      <w:r>
        <w:rPr>
          <w:rFonts w:hint="eastAsia" w:ascii="宋体" w:hAnsi="宋体" w:eastAsia="宋体" w:cs="宋体"/>
          <w:b/>
          <w:bCs/>
          <w:color w:val="auto"/>
          <w:sz w:val="28"/>
          <w:szCs w:val="28"/>
          <w:highlight w:val="none"/>
        </w:rPr>
        <w:t>内完成</w:t>
      </w:r>
      <w:r>
        <w:rPr>
          <w:rFonts w:hint="eastAsia" w:ascii="宋体" w:hAnsi="宋体" w:eastAsia="宋体" w:cs="宋体"/>
          <w:b/>
          <w:bCs/>
          <w:color w:val="auto"/>
          <w:sz w:val="28"/>
          <w:szCs w:val="28"/>
          <w:highlight w:val="none"/>
          <w:lang w:val="en-US" w:eastAsia="zh-CN"/>
        </w:rPr>
        <w:t>检测及结果上报。每个样品至少制3份样，两份承检机构留存，一份交南通市农产品质量检验测试中心留存，南通市农产品质量检验测试中心随机抽取进行复核。所有样品制备工作需由任务承担单位派人在南通市农产品质量检验测试中心完成。</w:t>
      </w:r>
      <w:r>
        <w:rPr>
          <w:rFonts w:hint="eastAsia" w:ascii="宋体" w:hAnsi="宋体" w:cs="宋体"/>
          <w:b/>
          <w:bCs/>
          <w:color w:val="auto"/>
          <w:sz w:val="28"/>
          <w:szCs w:val="28"/>
          <w:highlight w:val="none"/>
          <w:lang w:val="en-US" w:eastAsia="zh-CN"/>
        </w:rPr>
        <w:t>中标人需配合甲方对抽样工作进行监督。</w:t>
      </w:r>
    </w:p>
    <w:p w14:paraId="16D7F2F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（3）根据</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委托的检测项目和任务，落实专人负责现场采样、检测、数据汇总、统计分析等工作。供应商需配合</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因上级要求或实际需要对检测品种和项目而作出的调整，不得另行收费。</w:t>
      </w:r>
    </w:p>
    <w:p w14:paraId="4E30556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（4）根据</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的时间部署和工作要求，分期、分批开展采样和检测工作。</w:t>
      </w:r>
    </w:p>
    <w:p w14:paraId="4DB301E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中标人</w:t>
      </w:r>
      <w:r>
        <w:rPr>
          <w:rFonts w:hint="eastAsia" w:ascii="宋体" w:hAnsi="宋体" w:eastAsia="宋体" w:cs="宋体"/>
          <w:color w:val="auto"/>
          <w:sz w:val="28"/>
          <w:szCs w:val="28"/>
          <w:highlight w:val="none"/>
        </w:rPr>
        <w:t>需负责样品的运输和保存，并确保样品贮存、运输符合国家相关规定，不发生影响检验结论的变化。</w:t>
      </w:r>
    </w:p>
    <w:p w14:paraId="3542A38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（6）国家对现行检测标准和检测方法如有更新，以最新依据为准。</w:t>
      </w:r>
    </w:p>
    <w:p w14:paraId="4B57422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三、检测结果和报告</w:t>
      </w:r>
    </w:p>
    <w:p w14:paraId="1793BC5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对其抽取的样品负责，检测结果反映送检样品的真实状况，且必须自觉接受</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的结果比对。</w:t>
      </w:r>
    </w:p>
    <w:p w14:paraId="1177B7A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应按照规定的时限，完成检测任务，并汇总样品采样和检测结果信息，出具检测报告。除应急处置的样品须在样品送达后24小时内完成检测外，其他样品在每次采样后</w:t>
      </w:r>
      <w:r>
        <w:rPr>
          <w:rFonts w:hint="eastAsia" w:ascii="宋体" w:hAnsi="宋体" w:eastAsia="宋体" w:cs="宋体"/>
          <w:color w:val="auto"/>
          <w:sz w:val="28"/>
          <w:szCs w:val="28"/>
          <w:highlight w:val="none"/>
          <w:lang w:val="en-US" w:eastAsia="zh-CN"/>
        </w:rPr>
        <w:t>5个日历天</w:t>
      </w:r>
      <w:r>
        <w:rPr>
          <w:rFonts w:hint="eastAsia" w:ascii="宋体" w:hAnsi="宋体" w:eastAsia="宋体" w:cs="宋体"/>
          <w:color w:val="auto"/>
          <w:sz w:val="28"/>
          <w:szCs w:val="28"/>
          <w:highlight w:val="none"/>
        </w:rPr>
        <w:t>内完成检测任务，并汇总样品采样和检测结果信息，出具检测报告。</w:t>
      </w:r>
    </w:p>
    <w:p w14:paraId="16B5745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须对目前暂未有判定依据的项目，出具检测数值、检测方法介绍、结果分析和处理建议。</w:t>
      </w:r>
    </w:p>
    <w:p w14:paraId="4F17CFF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在每批样品检测工作完成后，及时出具检测报告。检测结果不合格的，应当在确认后24小时内将检测报告原件（不少于三份）寄（送）</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；检测结果合格的，在2个工作日内同将检测报告原件（不少于二份）寄（送）</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。同时将检测结果上传至江苏省农产品质量追溯平台。</w:t>
      </w:r>
    </w:p>
    <w:p w14:paraId="369D825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（5）被抽检人对检测结果如有异议，提出复检申请后，</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应配合</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对复检样品的调取送达工作。复检结果与初检结果不一致的，复检费用由</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承担。</w:t>
      </w:r>
    </w:p>
    <w:p w14:paraId="7CEA392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四、检测任务工作情况报送</w:t>
      </w:r>
    </w:p>
    <w:p w14:paraId="3F51FA7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检测任务全部完成后，</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要对检测结果进行分析评估。对检测结果判定为不合格的，要对不合格项目进行原因及危害性分析评估，提出下一年度检测意见和建议。</w:t>
      </w:r>
    </w:p>
    <w:p w14:paraId="6ADD4F4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五、采购标的的验收标准</w:t>
      </w:r>
    </w:p>
    <w:p w14:paraId="06D139E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全</w:t>
      </w:r>
      <w:r>
        <w:rPr>
          <w:rFonts w:hint="eastAsia" w:ascii="宋体" w:hAnsi="宋体" w:cs="宋体"/>
          <w:color w:val="auto"/>
          <w:sz w:val="28"/>
          <w:szCs w:val="28"/>
          <w:highlight w:val="none"/>
          <w:lang w:val="en-US" w:eastAsia="zh-CN"/>
        </w:rPr>
        <w:t>部</w:t>
      </w:r>
      <w:r>
        <w:rPr>
          <w:rFonts w:hint="eastAsia" w:ascii="宋体" w:hAnsi="宋体" w:eastAsia="宋体" w:cs="宋体"/>
          <w:color w:val="auto"/>
          <w:sz w:val="28"/>
          <w:szCs w:val="28"/>
          <w:highlight w:val="none"/>
        </w:rPr>
        <w:t>服务完成后</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组织项目验收，验收合格即视为项目完成。</w:t>
      </w:r>
    </w:p>
    <w:p w14:paraId="226D479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六、采购标的的其他技术、服务等要求</w:t>
      </w:r>
    </w:p>
    <w:p w14:paraId="1F77F27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必须按照诚信、客观、公正、实事求是的原则开展抽样检测服务，采样、检测工作必须按照相关标准、程序和要求实施，不得弄虚作假，随意变更。</w:t>
      </w:r>
    </w:p>
    <w:p w14:paraId="438C9F3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如出现以下情形之一，即取消承检机构资格，相关款项不予支付，且三年内不得响应</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同类项目，如造成经济损失及不良影响的，依法追究其经济赔偿责任和法律责任。一是在开展抽样检测过程中弄虚作假或不配合</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开展工作的；二是未征得</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同意，将检测任务外包或分包给其他检测机构检测的；三是不履行保密义务，向除</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外的任何单位与个人透露与监督抽查相关的信息。</w:t>
      </w:r>
    </w:p>
    <w:p w14:paraId="76A1E18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48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（3）无论投标结果如何，</w:t>
      </w: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自行承担与投标相应有关的全部费用。</w:t>
      </w:r>
    </w:p>
    <w:p w14:paraId="2DB21B6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Chars="0"/>
        <w:contextualSpacing/>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七、付款方式：</w:t>
      </w:r>
      <w:r>
        <w:rPr>
          <w:rFonts w:hint="eastAsia" w:ascii="宋体" w:hAnsi="宋体" w:cs="宋体"/>
          <w:color w:val="auto"/>
          <w:sz w:val="28"/>
          <w:szCs w:val="28"/>
          <w:highlight w:val="none"/>
          <w:lang w:val="en-US" w:eastAsia="zh-CN"/>
        </w:rPr>
        <w:t>因财政资金管理要求，招标人于2026年12月20日前一次性完成项目资金的支付（支付前，供应商需先行提供项目资金对应保额的保函）。</w:t>
      </w:r>
    </w:p>
    <w:p w14:paraId="0E71A3F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bidi w:val="0"/>
        <w:spacing w:line="460" w:lineRule="exact"/>
        <w:ind w:firstLineChars="0"/>
        <w:contextualSpacing/>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八、履约保证金</w:t>
      </w:r>
    </w:p>
    <w:p w14:paraId="31835A6A">
      <w:pPr>
        <w:keepLines w:val="0"/>
        <w:pageBreakBefore w:val="0"/>
        <w:kinsoku/>
        <w:wordWrap/>
        <w:overflowPunct/>
        <w:topLinePunct w:val="0"/>
        <w:autoSpaceDE/>
        <w:bidi w:val="0"/>
        <w:snapToGrid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（1）本项目成交后的履约保证金为成交价的5%。</w:t>
      </w:r>
    </w:p>
    <w:p w14:paraId="06724B32">
      <w:pPr>
        <w:keepLines w:val="0"/>
        <w:pageBreakBefore w:val="0"/>
        <w:kinsoku/>
        <w:wordWrap/>
        <w:overflowPunct/>
        <w:topLinePunct w:val="0"/>
        <w:autoSpaceDE/>
        <w:bidi w:val="0"/>
        <w:snapToGrid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可以选择以</w:t>
      </w:r>
      <w:r>
        <w:rPr>
          <w:rFonts w:hint="eastAsia" w:ascii="宋体" w:hAnsi="宋体" w:eastAsia="宋体" w:cs="宋体"/>
          <w:color w:val="auto"/>
          <w:sz w:val="28"/>
          <w:szCs w:val="28"/>
          <w:highlight w:val="none"/>
          <w:u w:val="single"/>
        </w:rPr>
        <w:t>支票、汇票、本票、保函、现金</w:t>
      </w:r>
      <w:r>
        <w:rPr>
          <w:rFonts w:hint="eastAsia" w:ascii="宋体" w:hAnsi="宋体" w:eastAsia="宋体" w:cs="宋体"/>
          <w:color w:val="auto"/>
          <w:sz w:val="28"/>
          <w:szCs w:val="28"/>
          <w:highlight w:val="none"/>
        </w:rPr>
        <w:t>等形式缴纳履约保证金。</w:t>
      </w:r>
    </w:p>
    <w:p w14:paraId="402043EC">
      <w:pPr>
        <w:keepLines w:val="0"/>
        <w:pageBreakBefore w:val="0"/>
        <w:kinsoku/>
        <w:wordWrap/>
        <w:overflowPunct/>
        <w:topLinePunct w:val="0"/>
        <w:autoSpaceDE/>
        <w:bidi w:val="0"/>
        <w:snapToGrid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lang w:eastAsia="zh-CN"/>
        </w:rPr>
        <w:t>中标通知书</w:t>
      </w:r>
      <w:r>
        <w:rPr>
          <w:rFonts w:hint="eastAsia" w:ascii="宋体" w:hAnsi="宋体" w:eastAsia="宋体" w:cs="宋体"/>
          <w:color w:val="auto"/>
          <w:sz w:val="28"/>
          <w:szCs w:val="28"/>
          <w:highlight w:val="none"/>
        </w:rPr>
        <w:t>发出之日起30日历天内，凭“</w:t>
      </w:r>
      <w:r>
        <w:rPr>
          <w:rFonts w:hint="eastAsia" w:ascii="宋体" w:hAnsi="宋体" w:eastAsia="宋体" w:cs="宋体"/>
          <w:color w:val="auto"/>
          <w:sz w:val="28"/>
          <w:szCs w:val="28"/>
          <w:highlight w:val="none"/>
          <w:lang w:eastAsia="zh-CN"/>
        </w:rPr>
        <w:t>中标通知书</w:t>
      </w:r>
      <w:r>
        <w:rPr>
          <w:rFonts w:hint="eastAsia" w:ascii="宋体" w:hAnsi="宋体" w:eastAsia="宋体" w:cs="宋体"/>
          <w:color w:val="auto"/>
          <w:sz w:val="28"/>
          <w:szCs w:val="28"/>
          <w:highlight w:val="none"/>
        </w:rPr>
        <w:t>”和“履约保证金”的缴纳凭证，与</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签订合同，超期或未有协商，则视为自动放弃成交资格。</w:t>
      </w:r>
    </w:p>
    <w:p w14:paraId="4914F8F2">
      <w:pPr>
        <w:keepNext/>
        <w:keepLines w:val="0"/>
        <w:pageBreakBefore w:val="0"/>
        <w:kinsoku/>
        <w:wordWrap/>
        <w:overflowPunct/>
        <w:topLinePunct w:val="0"/>
        <w:autoSpaceDE/>
        <w:bidi w:val="0"/>
        <w:adjustRightInd w:val="0"/>
        <w:snapToGrid w:val="0"/>
        <w:spacing w:line="460" w:lineRule="exact"/>
        <w:ind w:firstLine="480"/>
        <w:contextualSpacing/>
        <w:outlineLvl w:val="3"/>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在按要求保质保量的完成该项目合同并通过验收后，</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凭</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提交的申请，一次性无息退还该合同项目的履约保证金。</w:t>
      </w:r>
    </w:p>
    <w:p w14:paraId="0687081B">
      <w:pPr>
        <w:keepLines w:val="0"/>
        <w:pageBreakBefore w:val="0"/>
        <w:kinsoku/>
        <w:wordWrap/>
        <w:overflowPunct/>
        <w:topLinePunct w:val="0"/>
        <w:autoSpaceDE/>
        <w:bidi w:val="0"/>
        <w:spacing w:line="460" w:lineRule="exact"/>
        <w:ind w:firstLine="560" w:firstLineChars="200"/>
        <w:jc w:val="both"/>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（5）由于</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原因，在签订合同后出现不按合同履行的情况，</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有权将履约保证金作为违约金，全额不予退还，同时</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亦有权终止合同，</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还须承担相应的法律赔偿责任。</w:t>
      </w:r>
    </w:p>
    <w:p w14:paraId="6D0A50B4">
      <w:pPr>
        <w:jc w:val="center"/>
        <w:rPr>
          <w:rFonts w:hint="eastAsia" w:ascii="宋体" w:hAnsi="宋体" w:eastAsia="宋体" w:cs="宋体"/>
          <w:b/>
          <w:color w:val="auto"/>
          <w:sz w:val="36"/>
          <w:szCs w:val="36"/>
          <w:highlight w:val="none"/>
        </w:rPr>
      </w:pPr>
    </w:p>
    <w:p w14:paraId="3A9228D5">
      <w:pPr>
        <w:jc w:val="center"/>
        <w:rPr>
          <w:rFonts w:hint="eastAsia" w:ascii="宋体" w:hAnsi="宋体" w:eastAsia="宋体" w:cs="宋体"/>
          <w:b/>
          <w:color w:val="auto"/>
          <w:sz w:val="36"/>
          <w:szCs w:val="36"/>
          <w:highlight w:val="none"/>
        </w:rPr>
      </w:pPr>
    </w:p>
    <w:p w14:paraId="790B14A0">
      <w:pPr>
        <w:jc w:val="center"/>
        <w:rPr>
          <w:rFonts w:hint="eastAsia" w:ascii="宋体" w:hAnsi="宋体" w:eastAsia="宋体" w:cs="宋体"/>
          <w:b/>
          <w:color w:val="auto"/>
          <w:sz w:val="36"/>
          <w:szCs w:val="36"/>
          <w:highlight w:val="none"/>
        </w:rPr>
      </w:pPr>
    </w:p>
    <w:p w14:paraId="0F01F9B5">
      <w:pPr>
        <w:jc w:val="center"/>
        <w:rPr>
          <w:rFonts w:hint="eastAsia" w:ascii="宋体" w:hAnsi="宋体" w:eastAsia="宋体" w:cs="宋体"/>
          <w:b/>
          <w:color w:val="auto"/>
          <w:sz w:val="36"/>
          <w:szCs w:val="36"/>
          <w:highlight w:val="none"/>
        </w:rPr>
      </w:pPr>
    </w:p>
    <w:p w14:paraId="47269F12">
      <w:pPr>
        <w:jc w:val="center"/>
        <w:rPr>
          <w:rFonts w:hint="eastAsia" w:ascii="宋体" w:hAnsi="宋体" w:eastAsia="宋体" w:cs="宋体"/>
          <w:b/>
          <w:color w:val="auto"/>
          <w:sz w:val="36"/>
          <w:szCs w:val="36"/>
          <w:highlight w:val="none"/>
        </w:rPr>
      </w:pPr>
    </w:p>
    <w:p w14:paraId="36A18640">
      <w:pPr>
        <w:jc w:val="center"/>
        <w:rPr>
          <w:rFonts w:hint="eastAsia" w:ascii="宋体" w:hAnsi="宋体" w:eastAsia="宋体" w:cs="宋体"/>
          <w:b/>
          <w:color w:val="auto"/>
          <w:sz w:val="36"/>
          <w:szCs w:val="36"/>
          <w:highlight w:val="none"/>
        </w:rPr>
      </w:pPr>
    </w:p>
    <w:p w14:paraId="1D7B25CF">
      <w:pPr>
        <w:jc w:val="center"/>
        <w:rPr>
          <w:rFonts w:hint="eastAsia" w:ascii="宋体" w:hAnsi="宋体" w:eastAsia="宋体" w:cs="宋体"/>
          <w:b/>
          <w:color w:val="auto"/>
          <w:sz w:val="36"/>
          <w:szCs w:val="36"/>
          <w:highlight w:val="none"/>
        </w:rPr>
      </w:pPr>
    </w:p>
    <w:p w14:paraId="388B4C8A">
      <w:pPr>
        <w:jc w:val="center"/>
        <w:rPr>
          <w:rFonts w:hint="eastAsia" w:ascii="宋体" w:hAnsi="宋体" w:eastAsia="宋体" w:cs="宋体"/>
          <w:b/>
          <w:color w:val="auto"/>
          <w:sz w:val="36"/>
          <w:szCs w:val="36"/>
          <w:highlight w:val="none"/>
        </w:rPr>
      </w:pPr>
    </w:p>
    <w:p w14:paraId="539D46B3">
      <w:pPr>
        <w:jc w:val="center"/>
        <w:rPr>
          <w:rFonts w:hint="eastAsia" w:ascii="宋体" w:hAnsi="宋体" w:eastAsia="宋体" w:cs="宋体"/>
          <w:b/>
          <w:color w:val="auto"/>
          <w:sz w:val="36"/>
          <w:szCs w:val="36"/>
          <w:highlight w:val="none"/>
        </w:rPr>
      </w:pPr>
    </w:p>
    <w:p w14:paraId="65A855FA">
      <w:pPr>
        <w:jc w:val="center"/>
        <w:rPr>
          <w:rFonts w:hint="eastAsia" w:ascii="宋体" w:hAnsi="宋体" w:eastAsia="宋体" w:cs="宋体"/>
          <w:b/>
          <w:color w:val="auto"/>
          <w:sz w:val="36"/>
          <w:szCs w:val="36"/>
          <w:highlight w:val="none"/>
        </w:rPr>
      </w:pPr>
    </w:p>
    <w:p w14:paraId="3A009B8C">
      <w:pPr>
        <w:jc w:val="both"/>
        <w:rPr>
          <w:rFonts w:hint="eastAsia" w:ascii="宋体" w:hAnsi="宋体" w:eastAsia="宋体" w:cs="宋体"/>
          <w:b/>
          <w:color w:val="auto"/>
          <w:sz w:val="36"/>
          <w:szCs w:val="36"/>
          <w:highlight w:val="none"/>
        </w:rPr>
      </w:pPr>
    </w:p>
    <w:p w14:paraId="2C3F4B0E">
      <w:pPr>
        <w:jc w:val="center"/>
        <w:rPr>
          <w:rFonts w:hint="eastAsia" w:ascii="宋体" w:hAnsi="宋体" w:eastAsia="宋体" w:cs="宋体"/>
          <w:bCs/>
          <w:color w:val="auto"/>
          <w:sz w:val="36"/>
          <w:szCs w:val="36"/>
          <w:highlight w:val="none"/>
        </w:rPr>
      </w:pPr>
      <w:r>
        <w:rPr>
          <w:rFonts w:hint="eastAsia" w:ascii="宋体" w:hAnsi="宋体" w:eastAsia="宋体" w:cs="宋体"/>
          <w:b/>
          <w:color w:val="auto"/>
          <w:sz w:val="36"/>
          <w:szCs w:val="36"/>
          <w:highlight w:val="none"/>
        </w:rPr>
        <w:t>第四部分  开标和评标</w:t>
      </w:r>
    </w:p>
    <w:p w14:paraId="778E993A">
      <w:pPr>
        <w:pStyle w:val="86"/>
        <w:keepNext w:val="0"/>
        <w:keepLines w:val="0"/>
        <w:pageBreakBefore w:val="0"/>
        <w:widowControl w:val="0"/>
        <w:kinsoku/>
        <w:wordWrap/>
        <w:overflowPunct/>
        <w:topLinePunct w:val="0"/>
        <w:autoSpaceDE/>
        <w:autoSpaceDN/>
        <w:bidi w:val="0"/>
        <w:adjustRightInd w:val="0"/>
        <w:snapToGrid w:val="0"/>
        <w:spacing w:before="0" w:after="0" w:line="460" w:lineRule="exact"/>
        <w:ind w:left="0" w:right="0" w:firstLine="562" w:firstLineChars="200"/>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一、开标</w:t>
      </w:r>
    </w:p>
    <w:p w14:paraId="5512EAB8">
      <w:pPr>
        <w:keepNext w:val="0"/>
        <w:keepLines w:val="0"/>
        <w:pageBreakBefore w:val="0"/>
        <w:widowControl w:val="0"/>
        <w:tabs>
          <w:tab w:val="left" w:pos="3585"/>
        </w:tabs>
        <w:kinsoku/>
        <w:wordWrap/>
        <w:overflowPunct/>
        <w:topLinePunct w:val="0"/>
        <w:autoSpaceDE/>
        <w:autoSpaceDN/>
        <w:bidi w:val="0"/>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见面开标模式：投标人在指定地点参加开标会。</w:t>
      </w:r>
    </w:p>
    <w:p w14:paraId="1D2F4199">
      <w:pPr>
        <w:pStyle w:val="86"/>
        <w:keepNext w:val="0"/>
        <w:keepLines w:val="0"/>
        <w:pageBreakBefore w:val="0"/>
        <w:widowControl w:val="0"/>
        <w:kinsoku/>
        <w:wordWrap/>
        <w:overflowPunct/>
        <w:topLinePunct w:val="0"/>
        <w:autoSpaceDE/>
        <w:autoSpaceDN/>
        <w:bidi w:val="0"/>
        <w:adjustRightInd w:val="0"/>
        <w:snapToGrid w:val="0"/>
        <w:spacing w:before="0" w:after="0" w:line="460" w:lineRule="exact"/>
        <w:ind w:left="0" w:right="0" w:firstLine="562" w:firstLineChars="200"/>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二、评标流程和评标标准</w:t>
      </w:r>
    </w:p>
    <w:p w14:paraId="4E25D160">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采用综合评分法。分资格审查文件、商务技术文件、价格文件、三部分评审，总分值为100分，加分和减分因素除外。</w:t>
      </w:r>
    </w:p>
    <w:p w14:paraId="3D20256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首先由招标人对投标人资格进行审查，然后评标委员会对符合资格的投标人的投标文件进行符合性审查，最后评标委员会对符合性审查合格的投标文件商务、技术部分进行评估，综合比较与评价。待商务技术文件评审结束后，进行价格文件的评审。投标人商务、技术部分和价格部分的合计分值，为该投标人的评标总得分。</w:t>
      </w:r>
    </w:p>
    <w:p w14:paraId="3479743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4F67898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评委在认真审阅投标文件的基础上，根据各投标文件的响应程度独立评判，不得统一打分。</w:t>
      </w:r>
    </w:p>
    <w:p w14:paraId="476FF8D1">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（一）招标人（代表）对投标人资格进行审查。</w:t>
      </w:r>
    </w:p>
    <w:p w14:paraId="16A40F6A">
      <w:pPr>
        <w:pStyle w:val="90"/>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投标人资格不合格的，其投标文件判定为无效投标文件。</w:t>
      </w:r>
    </w:p>
    <w:p w14:paraId="4D1D8726">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（二）评标委员会对符合资格投标人的投标文件进行符合性审查。</w:t>
      </w:r>
    </w:p>
    <w:p w14:paraId="5BF403B4">
      <w:pPr>
        <w:pStyle w:val="90"/>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未通过符合性审查的投标文件，将被判为不满足招标文件实质性要求。 </w:t>
      </w:r>
    </w:p>
    <w:p w14:paraId="2AE230F2">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rPr>
          <w:rFonts w:hint="eastAsia" w:ascii="宋体" w:hAnsi="宋体" w:eastAsia="宋体" w:cs="宋体"/>
          <w:color w:val="auto"/>
          <w:kern w:val="0"/>
          <w:sz w:val="28"/>
          <w:szCs w:val="28"/>
          <w:highlight w:val="none"/>
          <w:lang w:bidi="ar"/>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zh-CN"/>
        </w:rPr>
        <w:t>三</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zh-CN"/>
        </w:rPr>
        <w:t>商务技术分</w:t>
      </w:r>
      <w:r>
        <w:rPr>
          <w:rFonts w:hint="eastAsia" w:ascii="宋体" w:hAnsi="宋体" w:eastAsia="宋体" w:cs="宋体"/>
          <w:color w:val="auto"/>
          <w:kern w:val="0"/>
          <w:sz w:val="28"/>
          <w:szCs w:val="28"/>
          <w:highlight w:val="none"/>
          <w:lang w:bidi="ar"/>
        </w:rPr>
        <w:t>：</w:t>
      </w:r>
      <w:r>
        <w:rPr>
          <w:rFonts w:hint="eastAsia" w:ascii="宋体" w:hAnsi="宋体" w:cs="宋体"/>
          <w:color w:val="auto"/>
          <w:kern w:val="0"/>
          <w:sz w:val="28"/>
          <w:szCs w:val="28"/>
          <w:highlight w:val="none"/>
          <w:lang w:val="en-US" w:eastAsia="zh-CN" w:bidi="ar"/>
        </w:rPr>
        <w:t>85</w:t>
      </w:r>
      <w:r>
        <w:rPr>
          <w:rFonts w:hint="eastAsia" w:ascii="宋体" w:hAnsi="宋体" w:eastAsia="宋体" w:cs="宋体"/>
          <w:color w:val="auto"/>
          <w:kern w:val="0"/>
          <w:sz w:val="28"/>
          <w:szCs w:val="28"/>
          <w:highlight w:val="none"/>
          <w:lang w:bidi="ar"/>
        </w:rPr>
        <w:t>分</w:t>
      </w:r>
    </w:p>
    <w:tbl>
      <w:tblPr>
        <w:tblStyle w:val="35"/>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897"/>
        <w:gridCol w:w="1093"/>
        <w:gridCol w:w="736"/>
        <w:gridCol w:w="5740"/>
      </w:tblGrid>
      <w:tr w14:paraId="14D4D3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9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7A9C1C4">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b/>
                <w:color w:val="auto"/>
                <w:sz w:val="22"/>
                <w:highlight w:val="none"/>
              </w:rPr>
              <w:t>序号</w:t>
            </w:r>
          </w:p>
        </w:tc>
        <w:tc>
          <w:tcPr>
            <w:tcW w:w="109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10BA6BAE">
            <w:pPr>
              <w:pBdr>
                <w:top w:val="none" w:color="000000" w:sz="0" w:space="0"/>
                <w:left w:val="none" w:color="000000" w:sz="0" w:space="0"/>
                <w:bottom w:val="none" w:color="000000" w:sz="0" w:space="0"/>
                <w:right w:val="none" w:color="000000" w:sz="0" w:space="0"/>
              </w:pBdr>
              <w:spacing w:line="360" w:lineRule="atLeast"/>
              <w:ind w:firstLine="0" w:firstLineChars="0"/>
              <w:rPr>
                <w:color w:val="auto"/>
                <w:sz w:val="21"/>
                <w:highlight w:val="none"/>
              </w:rPr>
            </w:pPr>
            <w:r>
              <w:rPr>
                <w:rFonts w:ascii="宋体" w:hAnsi="宋体" w:cs="宋体"/>
                <w:b/>
                <w:color w:val="auto"/>
                <w:sz w:val="22"/>
                <w:highlight w:val="none"/>
              </w:rPr>
              <w:t>评分点名称</w:t>
            </w:r>
          </w:p>
        </w:tc>
        <w:tc>
          <w:tcPr>
            <w:tcW w:w="73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3F949394">
            <w:pPr>
              <w:pBdr>
                <w:top w:val="none" w:color="000000" w:sz="0" w:space="0"/>
                <w:left w:val="none" w:color="000000" w:sz="0" w:space="0"/>
                <w:bottom w:val="none" w:color="000000" w:sz="0" w:space="0"/>
                <w:right w:val="none" w:color="000000" w:sz="0" w:space="0"/>
              </w:pBdr>
              <w:spacing w:line="360" w:lineRule="atLeast"/>
              <w:ind w:firstLine="0" w:firstLineChars="0"/>
              <w:rPr>
                <w:color w:val="auto"/>
                <w:sz w:val="21"/>
                <w:highlight w:val="none"/>
              </w:rPr>
            </w:pPr>
            <w:r>
              <w:rPr>
                <w:rFonts w:ascii="宋体" w:hAnsi="宋体" w:cs="宋体"/>
                <w:b/>
                <w:color w:val="auto"/>
                <w:sz w:val="22"/>
                <w:highlight w:val="none"/>
              </w:rPr>
              <w:t>分值</w:t>
            </w:r>
          </w:p>
        </w:tc>
        <w:tc>
          <w:tcPr>
            <w:tcW w:w="574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616E4454">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b/>
                <w:color w:val="auto"/>
                <w:sz w:val="22"/>
                <w:highlight w:val="none"/>
              </w:rPr>
              <w:t>评审标准</w:t>
            </w:r>
          </w:p>
        </w:tc>
      </w:tr>
      <w:tr w14:paraId="4687B1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D57E3E">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2"/>
                <w:highlight w:val="none"/>
              </w:rPr>
              <w:t>1</w:t>
            </w:r>
          </w:p>
        </w:tc>
        <w:tc>
          <w:tcPr>
            <w:tcW w:w="109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F240E50">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1"/>
                <w:highlight w:val="none"/>
              </w:rPr>
              <w:t>针对本项目的实施方案</w:t>
            </w:r>
          </w:p>
        </w:tc>
        <w:tc>
          <w:tcPr>
            <w:tcW w:w="7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C9AABC1">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hint="eastAsia" w:ascii="宋体" w:hAnsi="宋体" w:cs="宋体"/>
                <w:color w:val="auto"/>
                <w:sz w:val="21"/>
                <w:highlight w:val="none"/>
                <w:lang w:val="en-US" w:eastAsia="zh-CN"/>
              </w:rPr>
              <w:t>27</w:t>
            </w:r>
            <w:r>
              <w:rPr>
                <w:rFonts w:ascii="宋体" w:hAnsi="宋体" w:cs="宋体"/>
                <w:color w:val="auto"/>
                <w:sz w:val="21"/>
                <w:highlight w:val="none"/>
              </w:rPr>
              <w:t>分</w:t>
            </w:r>
          </w:p>
        </w:tc>
        <w:tc>
          <w:tcPr>
            <w:tcW w:w="574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FC34448">
            <w:pPr>
              <w:pBdr>
                <w:top w:val="none" w:color="000000" w:sz="0" w:space="0"/>
                <w:left w:val="none" w:color="000000" w:sz="0" w:space="0"/>
                <w:bottom w:val="none" w:color="000000" w:sz="0" w:space="0"/>
                <w:right w:val="none" w:color="000000" w:sz="0" w:space="0"/>
              </w:pBdr>
              <w:spacing w:line="400" w:lineRule="exact"/>
              <w:ind w:firstLine="0" w:firstLineChars="0"/>
              <w:rPr>
                <w:rFonts w:hint="eastAsia" w:ascii="宋体" w:hAnsi="宋体" w:eastAsia="宋体" w:cs="宋体"/>
                <w:color w:val="auto"/>
                <w:sz w:val="21"/>
                <w:highlight w:val="none"/>
                <w:lang w:eastAsia="zh-CN"/>
              </w:rPr>
            </w:pPr>
            <w:r>
              <w:rPr>
                <w:rFonts w:ascii="宋体" w:hAnsi="宋体" w:cs="宋体"/>
                <w:color w:val="auto"/>
                <w:sz w:val="21"/>
                <w:highlight w:val="none"/>
              </w:rPr>
              <w:t>（</w:t>
            </w:r>
            <w:r>
              <w:rPr>
                <w:rFonts w:eastAsia="Times New Roman"/>
                <w:color w:val="auto"/>
                <w:sz w:val="21"/>
                <w:highlight w:val="none"/>
              </w:rPr>
              <w:t>1</w:t>
            </w:r>
            <w:r>
              <w:rPr>
                <w:rFonts w:ascii="宋体" w:hAnsi="宋体" w:cs="宋体"/>
                <w:color w:val="auto"/>
                <w:sz w:val="21"/>
                <w:highlight w:val="none"/>
              </w:rPr>
              <w:t>）</w:t>
            </w:r>
            <w:r>
              <w:rPr>
                <w:rFonts w:hint="eastAsia" w:ascii="宋体" w:hAnsi="宋体" w:cs="宋体"/>
                <w:color w:val="auto"/>
                <w:sz w:val="21"/>
                <w:highlight w:val="none"/>
              </w:rPr>
              <w:t>投标人提供</w:t>
            </w:r>
            <w:r>
              <w:rPr>
                <w:rFonts w:ascii="宋体" w:hAnsi="宋体" w:cs="宋体"/>
                <w:color w:val="auto"/>
                <w:sz w:val="21"/>
                <w:highlight w:val="none"/>
              </w:rPr>
              <w:t>监测服务</w:t>
            </w:r>
            <w:r>
              <w:rPr>
                <w:rFonts w:hint="eastAsia" w:ascii="宋体" w:hAnsi="宋体" w:cs="宋体"/>
                <w:color w:val="auto"/>
                <w:sz w:val="21"/>
                <w:highlight w:val="none"/>
              </w:rPr>
              <w:t>方案</w:t>
            </w:r>
            <w:r>
              <w:rPr>
                <w:rFonts w:hint="eastAsia" w:ascii="宋体" w:hAnsi="宋体" w:cs="宋体"/>
                <w:color w:val="auto"/>
                <w:sz w:val="21"/>
                <w:highlight w:val="none"/>
                <w:lang w:val="en-US" w:eastAsia="zh-CN"/>
              </w:rPr>
              <w:t>综合评分</w:t>
            </w:r>
            <w:r>
              <w:rPr>
                <w:rFonts w:hint="eastAsia" w:ascii="宋体" w:hAnsi="宋体" w:cs="宋体"/>
                <w:color w:val="auto"/>
                <w:sz w:val="21"/>
                <w:highlight w:val="none"/>
              </w:rPr>
              <w:t>，包括</w:t>
            </w:r>
            <w:r>
              <w:rPr>
                <w:rFonts w:hint="default" w:ascii="Calibri" w:hAnsi="Calibri" w:cs="Calibri"/>
                <w:color w:val="auto"/>
                <w:sz w:val="21"/>
                <w:highlight w:val="none"/>
              </w:rPr>
              <w:t>①</w:t>
            </w:r>
            <w:r>
              <w:rPr>
                <w:rFonts w:hint="eastAsia" w:ascii="宋体" w:hAnsi="宋体" w:cs="宋体"/>
                <w:color w:val="auto"/>
                <w:sz w:val="21"/>
                <w:highlight w:val="none"/>
              </w:rPr>
              <w:t>人员</w:t>
            </w:r>
            <w:r>
              <w:rPr>
                <w:rFonts w:ascii="宋体" w:hAnsi="宋体" w:cs="宋体"/>
                <w:color w:val="auto"/>
                <w:sz w:val="21"/>
                <w:highlight w:val="none"/>
              </w:rPr>
              <w:t>合理安排</w:t>
            </w:r>
            <w:r>
              <w:rPr>
                <w:rFonts w:hint="default" w:ascii="Calibri" w:hAnsi="Calibri" w:cs="Calibri"/>
                <w:color w:val="auto"/>
                <w:sz w:val="21"/>
                <w:highlight w:val="none"/>
              </w:rPr>
              <w:t>②</w:t>
            </w:r>
            <w:r>
              <w:rPr>
                <w:rFonts w:hint="eastAsia" w:ascii="宋体" w:hAnsi="宋体" w:cs="宋体"/>
                <w:color w:val="auto"/>
                <w:sz w:val="21"/>
                <w:highlight w:val="none"/>
              </w:rPr>
              <w:t>工作计划</w:t>
            </w:r>
            <w:r>
              <w:rPr>
                <w:rFonts w:hint="default" w:ascii="Calibri" w:hAnsi="Calibri" w:cs="Calibri"/>
                <w:color w:val="auto"/>
                <w:sz w:val="21"/>
                <w:highlight w:val="none"/>
              </w:rPr>
              <w:t>③</w:t>
            </w:r>
            <w:r>
              <w:rPr>
                <w:rFonts w:hint="eastAsia" w:ascii="宋体" w:hAnsi="宋体" w:cs="宋体"/>
                <w:color w:val="auto"/>
                <w:sz w:val="21"/>
                <w:highlight w:val="none"/>
              </w:rPr>
              <w:t>服务措施</w:t>
            </w:r>
            <w:r>
              <w:rPr>
                <w:rFonts w:hint="eastAsia" w:ascii="宋体" w:hAnsi="宋体" w:eastAsia="宋体" w:cs="宋体"/>
                <w:color w:val="auto"/>
                <w:sz w:val="21"/>
                <w:highlight w:val="none"/>
              </w:rPr>
              <w:t>④</w:t>
            </w:r>
            <w:r>
              <w:rPr>
                <w:rFonts w:ascii="宋体" w:hAnsi="宋体" w:cs="宋体"/>
                <w:color w:val="auto"/>
                <w:sz w:val="21"/>
                <w:highlight w:val="none"/>
              </w:rPr>
              <w:t>信息化管理</w:t>
            </w:r>
            <w:r>
              <w:rPr>
                <w:rFonts w:hint="eastAsia" w:ascii="宋体" w:hAnsi="宋体" w:cs="宋体"/>
                <w:color w:val="auto"/>
                <w:sz w:val="21"/>
                <w:highlight w:val="none"/>
              </w:rPr>
              <w:t>等</w:t>
            </w:r>
            <w:r>
              <w:rPr>
                <w:rFonts w:hint="eastAsia" w:ascii="宋体" w:hAnsi="宋体" w:cs="宋体"/>
                <w:color w:val="auto"/>
                <w:sz w:val="21"/>
                <w:highlight w:val="none"/>
                <w:lang w:val="en-US" w:eastAsia="zh-CN"/>
              </w:rPr>
              <w:t>内容</w:t>
            </w:r>
            <w:r>
              <w:rPr>
                <w:rFonts w:hint="eastAsia" w:ascii="宋体" w:hAnsi="宋体" w:cs="宋体"/>
                <w:color w:val="auto"/>
                <w:sz w:val="21"/>
                <w:highlight w:val="none"/>
                <w:lang w:eastAsia="zh-CN"/>
              </w:rPr>
              <w:t>。</w:t>
            </w:r>
          </w:p>
          <w:p w14:paraId="620102D3">
            <w:pPr>
              <w:pBdr>
                <w:top w:val="none" w:color="000000" w:sz="0" w:space="0"/>
                <w:left w:val="none" w:color="000000" w:sz="0" w:space="0"/>
                <w:bottom w:val="none" w:color="000000" w:sz="0" w:space="0"/>
                <w:right w:val="none" w:color="000000" w:sz="0" w:space="0"/>
              </w:pBdr>
              <w:spacing w:line="400" w:lineRule="exact"/>
              <w:ind w:firstLine="0" w:firstLineChars="0"/>
              <w:rPr>
                <w:rFonts w:hint="eastAsia" w:ascii="宋体" w:hAnsi="宋体" w:cs="宋体"/>
                <w:color w:val="auto"/>
                <w:sz w:val="21"/>
                <w:highlight w:val="none"/>
              </w:rPr>
            </w:pPr>
            <w:r>
              <w:rPr>
                <w:rFonts w:hint="eastAsia" w:ascii="宋体" w:hAnsi="宋体" w:cs="宋体"/>
                <w:color w:val="auto"/>
                <w:sz w:val="21"/>
                <w:highlight w:val="none"/>
              </w:rPr>
              <w:t>每提供一个方面内容得2分，最多得</w:t>
            </w:r>
            <w:r>
              <w:rPr>
                <w:rFonts w:hint="eastAsia" w:ascii="宋体" w:hAnsi="宋体" w:cs="宋体"/>
                <w:color w:val="auto"/>
                <w:sz w:val="21"/>
                <w:highlight w:val="none"/>
                <w:lang w:val="en-US" w:eastAsia="zh-CN"/>
              </w:rPr>
              <w:t>8</w:t>
            </w:r>
            <w:r>
              <w:rPr>
                <w:rFonts w:hint="eastAsia" w:ascii="宋体" w:hAnsi="宋体" w:cs="宋体"/>
                <w:color w:val="auto"/>
                <w:sz w:val="21"/>
                <w:highlight w:val="none"/>
              </w:rPr>
              <w:t>分。上述</w:t>
            </w:r>
            <w:r>
              <w:rPr>
                <w:rFonts w:hint="eastAsia" w:ascii="宋体" w:hAnsi="宋体" w:cs="宋体"/>
                <w:color w:val="auto"/>
                <w:sz w:val="21"/>
                <w:highlight w:val="none"/>
                <w:lang w:val="en-US" w:eastAsia="zh-CN"/>
              </w:rPr>
              <w:t>4</w:t>
            </w:r>
            <w:r>
              <w:rPr>
                <w:rFonts w:hint="eastAsia" w:ascii="宋体" w:hAnsi="宋体" w:cs="宋体"/>
                <w:color w:val="auto"/>
                <w:sz w:val="21"/>
                <w:highlight w:val="none"/>
              </w:rPr>
              <w:t>个方面内容中，每方面内容每有一处内容存在缺陷或不足的扣1分，扣完为止。</w:t>
            </w:r>
          </w:p>
          <w:p w14:paraId="0A73285A">
            <w:pPr>
              <w:pBdr>
                <w:top w:val="none" w:color="000000" w:sz="0" w:space="0"/>
                <w:left w:val="none" w:color="000000" w:sz="0" w:space="0"/>
                <w:bottom w:val="none" w:color="000000" w:sz="0" w:space="0"/>
                <w:right w:val="none" w:color="000000" w:sz="0" w:space="0"/>
              </w:pBdr>
              <w:spacing w:line="400" w:lineRule="exact"/>
              <w:ind w:firstLine="0" w:firstLineChars="0"/>
              <w:rPr>
                <w:rFonts w:hint="eastAsia" w:ascii="宋体" w:hAnsi="宋体" w:eastAsia="宋体" w:cs="宋体"/>
                <w:color w:val="auto"/>
                <w:sz w:val="21"/>
                <w:highlight w:val="none"/>
                <w:lang w:val="en-US" w:eastAsia="zh-CN"/>
              </w:rPr>
            </w:pPr>
            <w:r>
              <w:rPr>
                <w:rFonts w:ascii="宋体" w:hAnsi="宋体" w:cs="宋体"/>
                <w:color w:val="auto"/>
                <w:sz w:val="21"/>
                <w:highlight w:val="none"/>
              </w:rPr>
              <w:t>（</w:t>
            </w:r>
            <w:r>
              <w:rPr>
                <w:rFonts w:eastAsia="Times New Roman"/>
                <w:color w:val="auto"/>
                <w:sz w:val="21"/>
                <w:highlight w:val="none"/>
              </w:rPr>
              <w:t>2</w:t>
            </w:r>
            <w:r>
              <w:rPr>
                <w:rFonts w:ascii="宋体" w:hAnsi="宋体" w:cs="宋体"/>
                <w:color w:val="auto"/>
                <w:sz w:val="21"/>
                <w:highlight w:val="none"/>
              </w:rPr>
              <w:t>）</w:t>
            </w:r>
            <w:r>
              <w:rPr>
                <w:rFonts w:hint="eastAsia" w:ascii="宋体" w:hAnsi="宋体" w:cs="宋体"/>
                <w:color w:val="auto"/>
                <w:sz w:val="21"/>
                <w:highlight w:val="none"/>
              </w:rPr>
              <w:t>投标人提供</w:t>
            </w:r>
            <w:r>
              <w:rPr>
                <w:rFonts w:ascii="宋体" w:hAnsi="宋体" w:cs="宋体"/>
                <w:color w:val="auto"/>
                <w:sz w:val="21"/>
                <w:highlight w:val="none"/>
              </w:rPr>
              <w:t>检测</w:t>
            </w:r>
            <w:r>
              <w:rPr>
                <w:rFonts w:hint="eastAsia" w:ascii="宋体" w:hAnsi="宋体" w:cs="宋体"/>
                <w:color w:val="auto"/>
                <w:sz w:val="21"/>
                <w:highlight w:val="none"/>
              </w:rPr>
              <w:t>质量控制服务方案内容、措施</w:t>
            </w:r>
            <w:r>
              <w:rPr>
                <w:rFonts w:hint="eastAsia" w:ascii="宋体" w:hAnsi="宋体" w:cs="宋体"/>
                <w:color w:val="auto"/>
                <w:sz w:val="21"/>
                <w:highlight w:val="none"/>
                <w:lang w:val="en-US" w:eastAsia="zh-CN"/>
              </w:rPr>
              <w:t>综合评分</w:t>
            </w:r>
            <w:r>
              <w:rPr>
                <w:rFonts w:ascii="宋体" w:hAnsi="宋体" w:cs="宋体"/>
                <w:color w:val="auto"/>
                <w:sz w:val="21"/>
                <w:highlight w:val="none"/>
              </w:rPr>
              <w:t>：包括</w:t>
            </w:r>
            <w:r>
              <w:rPr>
                <w:rFonts w:hint="eastAsia" w:ascii="微软雅黑" w:hAnsi="微软雅黑" w:eastAsia="微软雅黑" w:cs="微软雅黑"/>
                <w:color w:val="auto"/>
                <w:sz w:val="21"/>
                <w:highlight w:val="none"/>
              </w:rPr>
              <w:t>①</w:t>
            </w:r>
            <w:r>
              <w:rPr>
                <w:rFonts w:ascii="宋体" w:hAnsi="宋体" w:cs="宋体"/>
                <w:color w:val="auto"/>
                <w:sz w:val="21"/>
                <w:highlight w:val="none"/>
              </w:rPr>
              <w:t>质量监测</w:t>
            </w:r>
            <w:r>
              <w:rPr>
                <w:rFonts w:hint="eastAsia" w:ascii="宋体" w:hAnsi="宋体" w:cs="宋体"/>
                <w:color w:val="auto"/>
                <w:sz w:val="21"/>
                <w:highlight w:val="none"/>
              </w:rPr>
              <w:t>的保障能力</w:t>
            </w:r>
            <w:r>
              <w:rPr>
                <w:rFonts w:hint="eastAsia" w:ascii="微软雅黑" w:hAnsi="微软雅黑" w:eastAsia="微软雅黑" w:cs="微软雅黑"/>
                <w:color w:val="auto"/>
                <w:sz w:val="21"/>
                <w:highlight w:val="none"/>
              </w:rPr>
              <w:t>②</w:t>
            </w:r>
            <w:r>
              <w:rPr>
                <w:rFonts w:hint="eastAsia" w:ascii="宋体" w:hAnsi="宋体" w:cs="宋体"/>
                <w:color w:val="auto"/>
                <w:sz w:val="21"/>
                <w:highlight w:val="none"/>
              </w:rPr>
              <w:t>检测人员的培训能力</w:t>
            </w:r>
            <w:r>
              <w:rPr>
                <w:rFonts w:hint="eastAsia" w:ascii="微软雅黑" w:hAnsi="微软雅黑" w:eastAsia="微软雅黑" w:cs="微软雅黑"/>
                <w:color w:val="auto"/>
                <w:sz w:val="21"/>
                <w:highlight w:val="none"/>
              </w:rPr>
              <w:t>③</w:t>
            </w:r>
            <w:r>
              <w:rPr>
                <w:rFonts w:ascii="宋体" w:hAnsi="宋体" w:cs="宋体"/>
                <w:color w:val="auto"/>
                <w:sz w:val="21"/>
                <w:highlight w:val="none"/>
              </w:rPr>
              <w:t>样品运输和保存能力</w:t>
            </w:r>
            <w:r>
              <w:rPr>
                <w:rFonts w:hint="eastAsia" w:ascii="宋体" w:hAnsi="宋体" w:eastAsia="宋体" w:cs="宋体"/>
                <w:color w:val="auto"/>
                <w:sz w:val="21"/>
                <w:highlight w:val="none"/>
              </w:rPr>
              <w:t>④</w:t>
            </w:r>
            <w:r>
              <w:rPr>
                <w:rFonts w:hint="eastAsia" w:ascii="宋体" w:hAnsi="宋体" w:cs="宋体"/>
                <w:color w:val="auto"/>
                <w:sz w:val="21"/>
                <w:highlight w:val="none"/>
              </w:rPr>
              <w:t>试剂耗材的供应能力</w:t>
            </w:r>
            <w:r>
              <w:rPr>
                <w:rFonts w:ascii="宋体" w:hAnsi="宋体" w:cs="宋体"/>
                <w:color w:val="auto"/>
                <w:sz w:val="21"/>
                <w:highlight w:val="none"/>
              </w:rPr>
              <w:t>等</w:t>
            </w:r>
            <w:r>
              <w:rPr>
                <w:rFonts w:hint="eastAsia" w:ascii="宋体" w:hAnsi="宋体" w:cs="宋体"/>
                <w:color w:val="auto"/>
                <w:sz w:val="21"/>
                <w:highlight w:val="none"/>
                <w:lang w:val="en-US" w:eastAsia="zh-CN"/>
              </w:rPr>
              <w:t>内容</w:t>
            </w:r>
          </w:p>
          <w:p w14:paraId="50F7C339">
            <w:pPr>
              <w:pBdr>
                <w:top w:val="none" w:color="000000" w:sz="0" w:space="0"/>
                <w:left w:val="none" w:color="000000" w:sz="0" w:space="0"/>
                <w:bottom w:val="none" w:color="000000" w:sz="0" w:space="0"/>
                <w:right w:val="none" w:color="000000" w:sz="0" w:space="0"/>
              </w:pBdr>
              <w:spacing w:line="400" w:lineRule="exact"/>
              <w:ind w:firstLine="0" w:firstLineChars="0"/>
              <w:rPr>
                <w:rFonts w:hint="eastAsia" w:ascii="宋体" w:hAnsi="宋体" w:cs="宋体"/>
                <w:color w:val="auto"/>
                <w:sz w:val="21"/>
                <w:highlight w:val="none"/>
              </w:rPr>
            </w:pPr>
            <w:r>
              <w:rPr>
                <w:rFonts w:hint="eastAsia" w:ascii="宋体" w:hAnsi="宋体" w:cs="宋体"/>
                <w:color w:val="auto"/>
                <w:sz w:val="21"/>
                <w:highlight w:val="none"/>
              </w:rPr>
              <w:t>每提供一个方面内容得2分，最多得</w:t>
            </w:r>
            <w:r>
              <w:rPr>
                <w:rFonts w:hint="eastAsia" w:ascii="宋体" w:hAnsi="宋体" w:cs="宋体"/>
                <w:color w:val="auto"/>
                <w:sz w:val="21"/>
                <w:highlight w:val="none"/>
                <w:lang w:val="en-US" w:eastAsia="zh-CN"/>
              </w:rPr>
              <w:t>8</w:t>
            </w:r>
            <w:r>
              <w:rPr>
                <w:rFonts w:hint="eastAsia" w:ascii="宋体" w:hAnsi="宋体" w:cs="宋体"/>
                <w:color w:val="auto"/>
                <w:sz w:val="21"/>
                <w:highlight w:val="none"/>
              </w:rPr>
              <w:t>分。上述</w:t>
            </w:r>
            <w:r>
              <w:rPr>
                <w:rFonts w:hint="eastAsia" w:ascii="宋体" w:hAnsi="宋体" w:cs="宋体"/>
                <w:color w:val="auto"/>
                <w:sz w:val="21"/>
                <w:highlight w:val="none"/>
                <w:lang w:val="en-US" w:eastAsia="zh-CN"/>
              </w:rPr>
              <w:t>4</w:t>
            </w:r>
            <w:r>
              <w:rPr>
                <w:rFonts w:hint="eastAsia" w:ascii="宋体" w:hAnsi="宋体" w:cs="宋体"/>
                <w:color w:val="auto"/>
                <w:sz w:val="21"/>
                <w:highlight w:val="none"/>
              </w:rPr>
              <w:t>个方面内容中，每方面内容每有一处内容存在缺陷或不足的扣1分，扣完为止。</w:t>
            </w:r>
          </w:p>
          <w:p w14:paraId="35DCB2F4">
            <w:pPr>
              <w:pBdr>
                <w:top w:val="none" w:color="000000" w:sz="0" w:space="0"/>
                <w:left w:val="none" w:color="000000" w:sz="0" w:space="0"/>
                <w:bottom w:val="none" w:color="000000" w:sz="0" w:space="0"/>
                <w:right w:val="none" w:color="000000" w:sz="0" w:space="0"/>
              </w:pBdr>
              <w:spacing w:line="400" w:lineRule="exact"/>
              <w:ind w:firstLine="0" w:firstLineChars="0"/>
              <w:rPr>
                <w:rFonts w:ascii="宋体" w:hAnsi="宋体" w:cs="宋体"/>
                <w:color w:val="auto"/>
                <w:sz w:val="21"/>
                <w:highlight w:val="none"/>
              </w:rPr>
            </w:pPr>
            <w:r>
              <w:rPr>
                <w:rFonts w:hint="eastAsia" w:ascii="宋体" w:hAnsi="宋体" w:cs="宋体"/>
                <w:color w:val="auto"/>
                <w:sz w:val="21"/>
                <w:highlight w:val="none"/>
              </w:rPr>
              <w:t>（3）</w:t>
            </w:r>
            <w:r>
              <w:rPr>
                <w:rFonts w:ascii="宋体" w:hAnsi="宋体" w:cs="宋体"/>
                <w:color w:val="auto"/>
                <w:sz w:val="21"/>
                <w:highlight w:val="none"/>
              </w:rPr>
              <w:t>投标人</w:t>
            </w:r>
            <w:r>
              <w:rPr>
                <w:rFonts w:hint="eastAsia" w:ascii="宋体" w:hAnsi="宋体" w:cs="宋体"/>
                <w:color w:val="auto"/>
                <w:sz w:val="21"/>
                <w:highlight w:val="none"/>
                <w:lang w:val="en-US" w:eastAsia="zh-CN"/>
              </w:rPr>
              <w:t>提供</w:t>
            </w:r>
            <w:r>
              <w:rPr>
                <w:rFonts w:ascii="宋体" w:hAnsi="宋体" w:cs="宋体"/>
                <w:color w:val="auto"/>
                <w:sz w:val="21"/>
                <w:highlight w:val="none"/>
              </w:rPr>
              <w:t>论述</w:t>
            </w:r>
            <w:r>
              <w:rPr>
                <w:rFonts w:hint="eastAsia" w:ascii="宋体" w:hAnsi="宋体" w:cs="宋体"/>
                <w:color w:val="auto"/>
                <w:sz w:val="21"/>
                <w:highlight w:val="none"/>
                <w:lang w:val="en-US" w:eastAsia="zh-CN"/>
              </w:rPr>
              <w:t>建议综合评分：包括</w:t>
            </w:r>
            <w:r>
              <w:rPr>
                <w:rFonts w:hint="eastAsia" w:ascii="微软雅黑" w:hAnsi="微软雅黑" w:eastAsia="微软雅黑" w:cs="微软雅黑"/>
                <w:color w:val="auto"/>
                <w:sz w:val="21"/>
                <w:highlight w:val="none"/>
                <w:lang w:val="en-US" w:eastAsia="zh-CN"/>
              </w:rPr>
              <w:t>①</w:t>
            </w:r>
            <w:r>
              <w:rPr>
                <w:rFonts w:ascii="宋体" w:hAnsi="宋体" w:cs="宋体"/>
                <w:color w:val="auto"/>
                <w:sz w:val="21"/>
                <w:highlight w:val="none"/>
              </w:rPr>
              <w:t>如何提高问题发现率</w:t>
            </w:r>
            <w:r>
              <w:rPr>
                <w:rFonts w:hint="eastAsia" w:ascii="微软雅黑" w:hAnsi="微软雅黑" w:eastAsia="微软雅黑" w:cs="微软雅黑"/>
                <w:color w:val="auto"/>
                <w:sz w:val="21"/>
                <w:highlight w:val="none"/>
              </w:rPr>
              <w:t>②</w:t>
            </w:r>
            <w:r>
              <w:rPr>
                <w:rFonts w:ascii="宋体" w:hAnsi="宋体" w:cs="宋体"/>
                <w:color w:val="auto"/>
                <w:sz w:val="21"/>
                <w:highlight w:val="none"/>
              </w:rPr>
              <w:t>数据质量水平</w:t>
            </w:r>
            <w:r>
              <w:rPr>
                <w:rFonts w:hint="eastAsia" w:ascii="微软雅黑" w:hAnsi="微软雅黑" w:eastAsia="微软雅黑" w:cs="微软雅黑"/>
                <w:color w:val="auto"/>
                <w:sz w:val="21"/>
                <w:highlight w:val="none"/>
              </w:rPr>
              <w:t>③</w:t>
            </w:r>
            <w:r>
              <w:rPr>
                <w:rFonts w:ascii="宋体" w:hAnsi="宋体" w:cs="宋体"/>
                <w:color w:val="auto"/>
                <w:sz w:val="21"/>
                <w:highlight w:val="none"/>
              </w:rPr>
              <w:t>如何规范抽检程序</w:t>
            </w:r>
            <w:r>
              <w:rPr>
                <w:rFonts w:hint="eastAsia" w:ascii="微软雅黑" w:hAnsi="微软雅黑" w:eastAsia="微软雅黑" w:cs="微软雅黑"/>
                <w:color w:val="auto"/>
                <w:sz w:val="21"/>
                <w:highlight w:val="none"/>
              </w:rPr>
              <w:t>④</w:t>
            </w:r>
            <w:r>
              <w:rPr>
                <w:rFonts w:ascii="宋体" w:hAnsi="宋体" w:cs="宋体"/>
                <w:color w:val="auto"/>
                <w:sz w:val="21"/>
                <w:highlight w:val="none"/>
              </w:rPr>
              <w:t>对监测工作的建议。</w:t>
            </w:r>
          </w:p>
          <w:p w14:paraId="3023E90B">
            <w:pPr>
              <w:pBdr>
                <w:top w:val="none" w:color="000000" w:sz="0" w:space="0"/>
                <w:left w:val="none" w:color="000000" w:sz="0" w:space="0"/>
                <w:bottom w:val="none" w:color="000000" w:sz="0" w:space="0"/>
                <w:right w:val="none" w:color="000000" w:sz="0" w:space="0"/>
              </w:pBdr>
              <w:spacing w:line="400" w:lineRule="exact"/>
              <w:ind w:firstLine="0" w:firstLineChars="0"/>
              <w:rPr>
                <w:rFonts w:hint="eastAsia" w:ascii="宋体" w:hAnsi="宋体" w:cs="宋体"/>
                <w:color w:val="auto"/>
                <w:sz w:val="21"/>
                <w:highlight w:val="none"/>
              </w:rPr>
            </w:pPr>
            <w:r>
              <w:rPr>
                <w:rFonts w:hint="eastAsia" w:ascii="宋体" w:hAnsi="宋体" w:cs="宋体"/>
                <w:color w:val="auto"/>
                <w:sz w:val="21"/>
                <w:highlight w:val="none"/>
              </w:rPr>
              <w:t>每提供一个方面内容得2分，最多得</w:t>
            </w:r>
            <w:r>
              <w:rPr>
                <w:rFonts w:hint="eastAsia" w:ascii="宋体" w:hAnsi="宋体" w:cs="宋体"/>
                <w:color w:val="auto"/>
                <w:sz w:val="21"/>
                <w:highlight w:val="none"/>
                <w:lang w:val="en-US" w:eastAsia="zh-CN"/>
              </w:rPr>
              <w:t>8</w:t>
            </w:r>
            <w:r>
              <w:rPr>
                <w:rFonts w:hint="eastAsia" w:ascii="宋体" w:hAnsi="宋体" w:cs="宋体"/>
                <w:color w:val="auto"/>
                <w:sz w:val="21"/>
                <w:highlight w:val="none"/>
              </w:rPr>
              <w:t>分。上述</w:t>
            </w:r>
            <w:r>
              <w:rPr>
                <w:rFonts w:hint="eastAsia" w:ascii="宋体" w:hAnsi="宋体" w:cs="宋体"/>
                <w:color w:val="auto"/>
                <w:sz w:val="21"/>
                <w:highlight w:val="none"/>
                <w:lang w:val="en-US" w:eastAsia="zh-CN"/>
              </w:rPr>
              <w:t>4</w:t>
            </w:r>
            <w:r>
              <w:rPr>
                <w:rFonts w:hint="eastAsia" w:ascii="宋体" w:hAnsi="宋体" w:cs="宋体"/>
                <w:color w:val="auto"/>
                <w:sz w:val="21"/>
                <w:highlight w:val="none"/>
              </w:rPr>
              <w:t>个方面内容中，每方面内容每有一处内容存在缺陷或不足的扣1分，扣完为止。</w:t>
            </w:r>
          </w:p>
          <w:p w14:paraId="2F65C4D9">
            <w:pPr>
              <w:pBdr>
                <w:top w:val="none" w:color="000000" w:sz="0" w:space="0"/>
                <w:left w:val="none" w:color="000000" w:sz="0" w:space="0"/>
                <w:bottom w:val="none" w:color="000000" w:sz="0" w:space="0"/>
                <w:right w:val="none" w:color="000000" w:sz="0" w:space="0"/>
              </w:pBdr>
              <w:spacing w:line="400" w:lineRule="exact"/>
              <w:ind w:firstLine="0" w:firstLineChars="0"/>
              <w:rPr>
                <w:rFonts w:hint="eastAsia" w:ascii="宋体" w:hAnsi="宋体" w:cs="宋体"/>
                <w:color w:val="auto"/>
                <w:sz w:val="21"/>
                <w:highlight w:val="none"/>
              </w:rPr>
            </w:pPr>
            <w:r>
              <w:rPr>
                <w:rFonts w:hint="eastAsia" w:ascii="宋体" w:hAnsi="宋体" w:cs="宋体"/>
                <w:b/>
                <w:bCs/>
                <w:color w:val="auto"/>
                <w:sz w:val="21"/>
                <w:highlight w:val="none"/>
              </w:rPr>
              <w:t>注：实施方案内容存在缺陷或不足是指以下任意一种情形：方案内容不切合行业实际、不符合国家法规政策；或方案内容生搬硬造，与实际情况不符，存在偏差；或方案内容过于简略；或存在与项目无关的文字内容；或内容不适用项目实际情况；或内容逻辑漏洞或原理错误等情形。</w:t>
            </w:r>
          </w:p>
          <w:p w14:paraId="5E92296D">
            <w:pPr>
              <w:pBdr>
                <w:top w:val="none" w:color="000000" w:sz="0" w:space="0"/>
                <w:left w:val="none" w:color="000000" w:sz="0" w:space="0"/>
                <w:bottom w:val="none" w:color="000000" w:sz="0" w:space="0"/>
                <w:right w:val="none" w:color="000000" w:sz="0" w:space="0"/>
              </w:pBdr>
              <w:spacing w:line="400" w:lineRule="exact"/>
              <w:ind w:firstLine="0" w:firstLineChars="0"/>
              <w:rPr>
                <w:rFonts w:hint="eastAsia" w:ascii="宋体" w:hAnsi="宋体" w:cs="宋体"/>
                <w:color w:val="auto"/>
                <w:sz w:val="21"/>
                <w:highlight w:val="none"/>
              </w:rPr>
            </w:pPr>
            <w:r>
              <w:rPr>
                <w:rFonts w:hint="eastAsia" w:ascii="宋体" w:hAnsi="宋体" w:cs="宋体"/>
                <w:color w:val="auto"/>
                <w:sz w:val="21"/>
                <w:highlight w:val="none"/>
                <w:lang w:eastAsia="zh-CN"/>
              </w:rPr>
              <w:t>（</w:t>
            </w:r>
            <w:r>
              <w:rPr>
                <w:rFonts w:hint="eastAsia" w:ascii="宋体" w:hAnsi="宋体" w:cs="宋体"/>
                <w:color w:val="auto"/>
                <w:sz w:val="21"/>
                <w:highlight w:val="none"/>
                <w:lang w:val="en-US" w:eastAsia="zh-CN"/>
              </w:rPr>
              <w:t>4）保密措施：</w:t>
            </w:r>
            <w:r>
              <w:rPr>
                <w:rFonts w:hint="eastAsia" w:ascii="宋体" w:hAnsi="宋体" w:cs="宋体"/>
                <w:color w:val="auto"/>
                <w:sz w:val="21"/>
                <w:highlight w:val="none"/>
              </w:rPr>
              <w:t>投标人需</w:t>
            </w:r>
            <w:r>
              <w:rPr>
                <w:rFonts w:hint="eastAsia" w:ascii="宋体" w:hAnsi="宋体" w:cs="宋体"/>
                <w:color w:val="auto"/>
                <w:sz w:val="21"/>
                <w:highlight w:val="none"/>
                <w:lang w:val="en-US" w:eastAsia="zh-CN"/>
              </w:rPr>
              <w:t>提供完备的保密措施</w:t>
            </w:r>
            <w:r>
              <w:rPr>
                <w:rFonts w:hint="eastAsia" w:ascii="宋体" w:hAnsi="宋体" w:cs="宋体"/>
                <w:color w:val="auto"/>
                <w:sz w:val="21"/>
                <w:highlight w:val="none"/>
                <w:lang w:eastAsia="zh-CN"/>
              </w:rPr>
              <w:t>：</w:t>
            </w:r>
            <w:r>
              <w:rPr>
                <w:rFonts w:hint="eastAsia" w:ascii="宋体" w:hAnsi="宋体" w:cs="宋体"/>
                <w:bCs/>
                <w:color w:val="auto"/>
                <w:sz w:val="21"/>
                <w:szCs w:val="21"/>
                <w:highlight w:val="none"/>
                <w:lang w:val="en-US" w:eastAsia="zh-CN" w:bidi="ar"/>
              </w:rPr>
              <w:t>措施</w:t>
            </w:r>
            <w:r>
              <w:rPr>
                <w:rFonts w:hint="eastAsia" w:ascii="宋体" w:hAnsi="宋体" w:cs="宋体"/>
                <w:bCs/>
                <w:color w:val="auto"/>
                <w:sz w:val="21"/>
                <w:szCs w:val="21"/>
                <w:highlight w:val="none"/>
                <w:lang w:bidi="ar"/>
              </w:rPr>
              <w:t>非常合理</w:t>
            </w:r>
            <w:r>
              <w:rPr>
                <w:rFonts w:hint="eastAsia" w:ascii="宋体" w:hAnsi="宋体" w:cs="宋体"/>
                <w:bCs/>
                <w:color w:val="auto"/>
                <w:sz w:val="21"/>
                <w:szCs w:val="21"/>
                <w:highlight w:val="none"/>
                <w:lang w:eastAsia="zh-CN" w:bidi="ar"/>
              </w:rPr>
              <w:t>，</w:t>
            </w:r>
            <w:r>
              <w:rPr>
                <w:rFonts w:hint="eastAsia" w:ascii="宋体" w:hAnsi="宋体" w:cs="宋体"/>
                <w:bCs/>
                <w:color w:val="auto"/>
                <w:sz w:val="21"/>
                <w:szCs w:val="21"/>
                <w:highlight w:val="none"/>
                <w:lang w:val="en-US" w:eastAsia="zh-CN" w:bidi="ar"/>
              </w:rPr>
              <w:t>应对可能的泄密行为的预案</w:t>
            </w:r>
            <w:r>
              <w:rPr>
                <w:rFonts w:hint="eastAsia" w:ascii="宋体" w:hAnsi="宋体" w:cs="宋体"/>
                <w:bCs/>
                <w:color w:val="auto"/>
                <w:sz w:val="21"/>
                <w:szCs w:val="21"/>
                <w:highlight w:val="none"/>
                <w:lang w:bidi="ar"/>
              </w:rPr>
              <w:t>可操作性极强</w:t>
            </w:r>
            <w:r>
              <w:rPr>
                <w:rFonts w:hint="eastAsia" w:ascii="宋体" w:hAnsi="宋体" w:cs="宋体"/>
                <w:bCs/>
                <w:color w:val="auto"/>
                <w:sz w:val="21"/>
                <w:szCs w:val="21"/>
                <w:highlight w:val="none"/>
                <w:lang w:eastAsia="zh-CN" w:bidi="ar"/>
              </w:rPr>
              <w:t>，</w:t>
            </w:r>
            <w:r>
              <w:rPr>
                <w:rFonts w:hint="eastAsia" w:ascii="宋体" w:hAnsi="宋体" w:cs="宋体"/>
                <w:bCs/>
                <w:color w:val="auto"/>
                <w:sz w:val="21"/>
                <w:szCs w:val="21"/>
                <w:highlight w:val="none"/>
                <w:lang w:val="en-US" w:eastAsia="zh-CN" w:bidi="ar"/>
              </w:rPr>
              <w:t>得3分；措施</w:t>
            </w:r>
            <w:r>
              <w:rPr>
                <w:rFonts w:hint="eastAsia" w:ascii="宋体" w:hAnsi="宋体" w:cs="宋体"/>
                <w:bCs/>
                <w:color w:val="auto"/>
                <w:sz w:val="21"/>
                <w:szCs w:val="21"/>
                <w:highlight w:val="none"/>
                <w:lang w:bidi="ar"/>
              </w:rPr>
              <w:t>较合理，</w:t>
            </w:r>
            <w:r>
              <w:rPr>
                <w:rFonts w:hint="eastAsia" w:ascii="宋体" w:hAnsi="宋体" w:cs="宋体"/>
                <w:bCs/>
                <w:color w:val="auto"/>
                <w:sz w:val="21"/>
                <w:szCs w:val="21"/>
                <w:highlight w:val="none"/>
                <w:lang w:val="en-US" w:eastAsia="zh-CN" w:bidi="ar"/>
              </w:rPr>
              <w:t>应对可能的泄密行为的预案</w:t>
            </w:r>
            <w:r>
              <w:rPr>
                <w:rFonts w:hint="eastAsia" w:ascii="宋体" w:hAnsi="宋体" w:cs="宋体"/>
                <w:bCs/>
                <w:color w:val="auto"/>
                <w:sz w:val="21"/>
                <w:szCs w:val="21"/>
                <w:highlight w:val="none"/>
                <w:lang w:bidi="ar"/>
              </w:rPr>
              <w:t>可操作性</w:t>
            </w:r>
            <w:r>
              <w:rPr>
                <w:rFonts w:hint="eastAsia" w:ascii="宋体" w:hAnsi="宋体" w:cs="宋体"/>
                <w:bCs/>
                <w:color w:val="auto"/>
                <w:sz w:val="21"/>
                <w:szCs w:val="21"/>
                <w:highlight w:val="none"/>
                <w:lang w:val="en-US" w:eastAsia="zh-CN" w:bidi="ar"/>
              </w:rPr>
              <w:t>较强</w:t>
            </w:r>
            <w:r>
              <w:rPr>
                <w:rFonts w:hint="eastAsia" w:ascii="宋体" w:hAnsi="宋体" w:cs="宋体"/>
                <w:bCs/>
                <w:color w:val="auto"/>
                <w:sz w:val="21"/>
                <w:szCs w:val="21"/>
                <w:highlight w:val="none"/>
                <w:lang w:bidi="ar"/>
              </w:rPr>
              <w:t>，具备可操作性</w:t>
            </w:r>
            <w:r>
              <w:rPr>
                <w:rFonts w:hint="eastAsia" w:ascii="宋体" w:hAnsi="宋体" w:cs="宋体"/>
                <w:bCs/>
                <w:color w:val="auto"/>
                <w:sz w:val="21"/>
                <w:szCs w:val="21"/>
                <w:highlight w:val="none"/>
                <w:lang w:val="en-US" w:eastAsia="zh-CN" w:bidi="ar"/>
              </w:rPr>
              <w:t>，得2分；措施</w:t>
            </w:r>
            <w:r>
              <w:rPr>
                <w:rFonts w:hint="eastAsia" w:ascii="宋体" w:hAnsi="宋体" w:cs="宋体"/>
                <w:bCs/>
                <w:color w:val="auto"/>
                <w:sz w:val="21"/>
                <w:szCs w:val="21"/>
                <w:highlight w:val="none"/>
                <w:lang w:bidi="ar"/>
              </w:rPr>
              <w:t>基本合理，</w:t>
            </w:r>
            <w:r>
              <w:rPr>
                <w:rFonts w:hint="eastAsia" w:ascii="宋体" w:hAnsi="宋体" w:cs="宋体"/>
                <w:bCs/>
                <w:color w:val="auto"/>
                <w:sz w:val="21"/>
                <w:szCs w:val="21"/>
                <w:highlight w:val="none"/>
                <w:lang w:val="en-US" w:eastAsia="zh-CN" w:bidi="ar"/>
              </w:rPr>
              <w:t>应对可能的泄密行为的预案较差，得1分；不提供得0分</w:t>
            </w:r>
            <w:r>
              <w:rPr>
                <w:rFonts w:hint="eastAsia" w:ascii="宋体" w:hAnsi="宋体" w:cs="宋体"/>
                <w:bCs/>
                <w:color w:val="auto"/>
                <w:sz w:val="21"/>
                <w:szCs w:val="21"/>
                <w:highlight w:val="none"/>
                <w:lang w:bidi="ar"/>
              </w:rPr>
              <w:t>。</w:t>
            </w:r>
          </w:p>
        </w:tc>
      </w:tr>
      <w:tr w14:paraId="029B59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F9B9A2">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2"/>
                <w:highlight w:val="none"/>
              </w:rPr>
              <w:t>2</w:t>
            </w:r>
          </w:p>
        </w:tc>
        <w:tc>
          <w:tcPr>
            <w:tcW w:w="109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4226E25">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1"/>
                <w:highlight w:val="none"/>
              </w:rPr>
              <w:t>人员配备</w:t>
            </w:r>
          </w:p>
        </w:tc>
        <w:tc>
          <w:tcPr>
            <w:tcW w:w="7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8BE4A0A">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1"/>
                <w:highlight w:val="none"/>
              </w:rPr>
              <w:t>9分</w:t>
            </w:r>
          </w:p>
        </w:tc>
        <w:tc>
          <w:tcPr>
            <w:tcW w:w="574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44084D6">
            <w:pPr>
              <w:pBdr>
                <w:top w:val="none" w:color="000000" w:sz="0" w:space="0"/>
                <w:left w:val="none" w:color="000000" w:sz="0" w:space="0"/>
                <w:bottom w:val="none" w:color="000000" w:sz="0" w:space="0"/>
                <w:right w:val="none" w:color="000000" w:sz="0" w:space="0"/>
              </w:pBdr>
              <w:spacing w:line="400" w:lineRule="exact"/>
              <w:ind w:firstLine="0" w:firstLineChars="0"/>
              <w:jc w:val="left"/>
              <w:rPr>
                <w:color w:val="auto"/>
                <w:sz w:val="21"/>
                <w:highlight w:val="none"/>
              </w:rPr>
            </w:pPr>
            <w:r>
              <w:rPr>
                <w:rFonts w:ascii="宋体" w:hAnsi="宋体" w:cs="宋体"/>
                <w:color w:val="auto"/>
                <w:sz w:val="21"/>
                <w:highlight w:val="none"/>
              </w:rPr>
              <w:t>投标人拟派参与本项目的人员具有生物类、食品类、化学类、检测化验类等相关专业的助理工程师得1分</w:t>
            </w:r>
            <w:r>
              <w:rPr>
                <w:rFonts w:hint="eastAsia" w:ascii="宋体" w:hAnsi="宋体" w:cs="宋体"/>
                <w:color w:val="auto"/>
                <w:sz w:val="21"/>
                <w:highlight w:val="none"/>
              </w:rPr>
              <w:t>；</w:t>
            </w:r>
            <w:r>
              <w:rPr>
                <w:rFonts w:ascii="宋体" w:hAnsi="宋体" w:cs="宋体"/>
                <w:color w:val="auto"/>
                <w:sz w:val="21"/>
                <w:highlight w:val="none"/>
              </w:rPr>
              <w:t>中级工程师得3分</w:t>
            </w:r>
            <w:r>
              <w:rPr>
                <w:rFonts w:hint="eastAsia" w:ascii="宋体" w:hAnsi="宋体" w:cs="宋体"/>
                <w:color w:val="auto"/>
                <w:sz w:val="21"/>
                <w:highlight w:val="none"/>
              </w:rPr>
              <w:t>；</w:t>
            </w:r>
            <w:r>
              <w:rPr>
                <w:rFonts w:ascii="宋体" w:hAnsi="宋体" w:cs="宋体"/>
                <w:color w:val="auto"/>
                <w:sz w:val="21"/>
                <w:highlight w:val="none"/>
              </w:rPr>
              <w:t>高级工程师得5分</w:t>
            </w:r>
            <w:r>
              <w:rPr>
                <w:rFonts w:hint="eastAsia" w:ascii="宋体" w:hAnsi="宋体" w:cs="宋体"/>
                <w:color w:val="auto"/>
                <w:sz w:val="21"/>
                <w:highlight w:val="none"/>
              </w:rPr>
              <w:t>；</w:t>
            </w:r>
            <w:r>
              <w:rPr>
                <w:rFonts w:hint="eastAsia" w:ascii="宋体" w:hAnsi="宋体" w:cs="宋体"/>
                <w:color w:val="auto"/>
                <w:sz w:val="21"/>
                <w:highlight w:val="none"/>
                <w:lang w:eastAsia="zh-CN"/>
              </w:rPr>
              <w:t>本项</w:t>
            </w:r>
            <w:r>
              <w:rPr>
                <w:rFonts w:ascii="宋体" w:hAnsi="宋体" w:cs="宋体"/>
                <w:color w:val="auto"/>
                <w:sz w:val="21"/>
                <w:highlight w:val="none"/>
              </w:rPr>
              <w:t>最高得9分。</w:t>
            </w:r>
          </w:p>
          <w:p w14:paraId="01F740FE">
            <w:pPr>
              <w:pBdr>
                <w:top w:val="none" w:color="000000" w:sz="0" w:space="0"/>
                <w:left w:val="none" w:color="000000" w:sz="0" w:space="0"/>
                <w:bottom w:val="none" w:color="000000" w:sz="0" w:space="0"/>
                <w:right w:val="none" w:color="000000" w:sz="0" w:space="0"/>
              </w:pBdr>
              <w:spacing w:line="400" w:lineRule="exact"/>
              <w:ind w:firstLine="0" w:firstLineChars="0"/>
              <w:rPr>
                <w:color w:val="auto"/>
                <w:sz w:val="21"/>
                <w:highlight w:val="none"/>
              </w:rPr>
            </w:pPr>
            <w:r>
              <w:rPr>
                <w:rFonts w:ascii="宋体" w:hAnsi="宋体" w:cs="宋体"/>
                <w:b/>
                <w:color w:val="auto"/>
                <w:sz w:val="21"/>
                <w:highlight w:val="none"/>
              </w:rPr>
              <w:t>说明：拟派人员</w:t>
            </w:r>
            <w:r>
              <w:rPr>
                <w:rFonts w:hint="eastAsia" w:ascii="宋体" w:hAnsi="宋体" w:cs="宋体"/>
                <w:b/>
                <w:color w:val="auto"/>
                <w:sz w:val="21"/>
                <w:highlight w:val="none"/>
              </w:rPr>
              <w:t>需提供</w:t>
            </w:r>
            <w:r>
              <w:rPr>
                <w:rFonts w:hint="eastAsia" w:ascii="宋体" w:hAnsi="宋体" w:cs="宋体"/>
                <w:bCs/>
                <w:color w:val="auto"/>
                <w:sz w:val="21"/>
                <w:szCs w:val="21"/>
                <w:highlight w:val="none"/>
                <w:lang w:bidi="ar"/>
              </w:rPr>
              <w:t>由投标人缴纳的</w:t>
            </w:r>
            <w:r>
              <w:rPr>
                <w:rFonts w:hint="eastAsia" w:ascii="宋体" w:hAnsi="宋体" w:cs="宋体"/>
                <w:bCs/>
                <w:color w:val="auto"/>
                <w:sz w:val="21"/>
                <w:szCs w:val="21"/>
                <w:highlight w:val="none"/>
                <w:lang w:val="en-US" w:eastAsia="zh-CN" w:bidi="ar"/>
              </w:rPr>
              <w:t>2026年</w:t>
            </w:r>
            <w:r>
              <w:rPr>
                <w:rFonts w:hint="eastAsia" w:ascii="宋体" w:hAnsi="宋体" w:cs="宋体"/>
                <w:bCs/>
                <w:color w:val="auto"/>
                <w:sz w:val="21"/>
                <w:szCs w:val="21"/>
                <w:highlight w:val="none"/>
                <w:lang w:bidi="ar"/>
              </w:rPr>
              <w:t>内任意一个月的</w:t>
            </w:r>
            <w:r>
              <w:rPr>
                <w:rFonts w:hint="eastAsia" w:ascii="宋体" w:hAnsi="宋体" w:cs="宋体"/>
                <w:bCs/>
                <w:color w:val="auto"/>
                <w:sz w:val="21"/>
                <w:szCs w:val="21"/>
                <w:highlight w:val="none"/>
                <w:lang w:eastAsia="zh-CN" w:bidi="ar"/>
              </w:rPr>
              <w:t>社保证明</w:t>
            </w:r>
            <w:r>
              <w:rPr>
                <w:rFonts w:hint="eastAsia" w:ascii="宋体" w:hAnsi="宋体" w:cs="宋体"/>
                <w:bCs/>
                <w:color w:val="auto"/>
                <w:sz w:val="21"/>
                <w:szCs w:val="21"/>
                <w:highlight w:val="none"/>
                <w:lang w:bidi="ar"/>
              </w:rPr>
              <w:t>（必须体现该人姓名）,提供</w:t>
            </w:r>
            <w:r>
              <w:rPr>
                <w:rFonts w:hint="eastAsia" w:ascii="宋体" w:hAnsi="宋体" w:cs="宋体"/>
                <w:bCs/>
                <w:color w:val="auto"/>
                <w:sz w:val="21"/>
                <w:szCs w:val="21"/>
                <w:highlight w:val="none"/>
                <w:lang w:eastAsia="zh-CN" w:bidi="ar"/>
              </w:rPr>
              <w:t>社保</w:t>
            </w:r>
            <w:r>
              <w:rPr>
                <w:rFonts w:hint="eastAsia" w:ascii="宋体" w:hAnsi="宋体" w:cs="宋体"/>
                <w:bCs/>
                <w:color w:val="auto"/>
                <w:sz w:val="21"/>
                <w:szCs w:val="21"/>
                <w:highlight w:val="none"/>
                <w:lang w:bidi="ar"/>
              </w:rPr>
              <w:t>证明（由当地社保机构出具并加盖印章；已实行网上直接打印的地区，可提供网上打印的材料）(供应商如为成立不足三个月的新公司，可以提供最近一个月的</w:t>
            </w:r>
            <w:r>
              <w:rPr>
                <w:rFonts w:hint="eastAsia" w:ascii="宋体" w:hAnsi="宋体" w:cs="宋体"/>
                <w:bCs/>
                <w:color w:val="auto"/>
                <w:sz w:val="21"/>
                <w:szCs w:val="21"/>
                <w:highlight w:val="none"/>
                <w:lang w:eastAsia="zh-CN" w:bidi="ar"/>
              </w:rPr>
              <w:t>社保</w:t>
            </w:r>
            <w:r>
              <w:rPr>
                <w:rFonts w:hint="eastAsia" w:ascii="宋体" w:hAnsi="宋体" w:cs="宋体"/>
                <w:bCs/>
                <w:color w:val="auto"/>
                <w:sz w:val="21"/>
                <w:szCs w:val="21"/>
                <w:highlight w:val="none"/>
                <w:lang w:bidi="ar"/>
              </w:rPr>
              <w:t>缴费证明;成立不足一个月的新公司，可以不提交养老保险缴费证明)，否则不计分。</w:t>
            </w:r>
            <w:r>
              <w:rPr>
                <w:rFonts w:hint="eastAsia" w:cs="宋体"/>
                <w:b/>
                <w:color w:val="auto"/>
                <w:sz w:val="21"/>
                <w:highlight w:val="none"/>
              </w:rPr>
              <w:t>同一人员职称证不得同时得分。</w:t>
            </w:r>
          </w:p>
          <w:p w14:paraId="4FD75FBF">
            <w:pPr>
              <w:pBdr>
                <w:top w:val="none" w:color="000000" w:sz="0" w:space="0"/>
                <w:left w:val="none" w:color="000000" w:sz="0" w:space="0"/>
                <w:bottom w:val="none" w:color="000000" w:sz="0" w:space="0"/>
                <w:right w:val="none" w:color="000000" w:sz="0" w:space="0"/>
              </w:pBdr>
              <w:spacing w:line="400" w:lineRule="exact"/>
              <w:ind w:firstLine="0" w:firstLineChars="0"/>
              <w:rPr>
                <w:color w:val="auto"/>
                <w:sz w:val="21"/>
                <w:highlight w:val="none"/>
              </w:rPr>
            </w:pPr>
            <w:r>
              <w:rPr>
                <w:rFonts w:ascii="宋体" w:hAnsi="宋体" w:cs="宋体"/>
                <w:b/>
                <w:color w:val="auto"/>
                <w:sz w:val="21"/>
                <w:highlight w:val="none"/>
              </w:rPr>
              <w:t>特别提醒：本项目投标时拟派人员须与实际委派人员一致。</w:t>
            </w:r>
          </w:p>
        </w:tc>
      </w:tr>
      <w:tr w14:paraId="3FC405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EF9D55">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2"/>
                <w:highlight w:val="none"/>
              </w:rPr>
              <w:t>3</w:t>
            </w:r>
          </w:p>
        </w:tc>
        <w:tc>
          <w:tcPr>
            <w:tcW w:w="109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1623088">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1"/>
                <w:highlight w:val="none"/>
              </w:rPr>
              <w:t>类似业绩</w:t>
            </w:r>
          </w:p>
        </w:tc>
        <w:tc>
          <w:tcPr>
            <w:tcW w:w="7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A5355F6">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1"/>
                <w:highlight w:val="none"/>
              </w:rPr>
              <w:t>1</w:t>
            </w:r>
            <w:r>
              <w:rPr>
                <w:rFonts w:hint="eastAsia" w:ascii="宋体" w:hAnsi="宋体" w:cs="宋体"/>
                <w:color w:val="auto"/>
                <w:sz w:val="21"/>
                <w:highlight w:val="none"/>
              </w:rPr>
              <w:t>0</w:t>
            </w:r>
            <w:r>
              <w:rPr>
                <w:rFonts w:ascii="宋体" w:hAnsi="宋体" w:cs="宋体"/>
                <w:color w:val="auto"/>
                <w:sz w:val="21"/>
                <w:highlight w:val="none"/>
              </w:rPr>
              <w:t>分</w:t>
            </w:r>
          </w:p>
        </w:tc>
        <w:tc>
          <w:tcPr>
            <w:tcW w:w="57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662A08E">
            <w:pPr>
              <w:pStyle w:val="15"/>
              <w:rPr>
                <w:color w:val="auto"/>
                <w:sz w:val="21"/>
                <w:highlight w:val="none"/>
              </w:rPr>
            </w:pPr>
            <w:r>
              <w:rPr>
                <w:rFonts w:ascii="宋体" w:hAnsi="宋体" w:cs="宋体"/>
                <w:color w:val="auto"/>
                <w:sz w:val="21"/>
                <w:highlight w:val="none"/>
              </w:rPr>
              <w:t>自202</w:t>
            </w:r>
            <w:r>
              <w:rPr>
                <w:rFonts w:hint="eastAsia" w:ascii="宋体" w:hAnsi="宋体" w:cs="宋体"/>
                <w:color w:val="auto"/>
                <w:sz w:val="21"/>
                <w:highlight w:val="none"/>
                <w:lang w:val="en-US" w:eastAsia="zh-CN"/>
              </w:rPr>
              <w:t>3</w:t>
            </w:r>
            <w:r>
              <w:rPr>
                <w:rFonts w:ascii="宋体" w:hAnsi="宋体" w:cs="宋体"/>
                <w:color w:val="auto"/>
                <w:sz w:val="21"/>
                <w:highlight w:val="none"/>
              </w:rPr>
              <w:t>年</w:t>
            </w:r>
            <w:r>
              <w:rPr>
                <w:rFonts w:hint="eastAsia" w:ascii="宋体" w:hAnsi="宋体" w:cs="宋体"/>
                <w:color w:val="auto"/>
                <w:sz w:val="21"/>
                <w:highlight w:val="none"/>
                <w:lang w:val="en-US" w:eastAsia="zh-CN"/>
              </w:rPr>
              <w:t>1</w:t>
            </w:r>
            <w:r>
              <w:rPr>
                <w:rFonts w:ascii="宋体" w:hAnsi="宋体" w:cs="宋体"/>
                <w:color w:val="auto"/>
                <w:sz w:val="21"/>
                <w:highlight w:val="none"/>
              </w:rPr>
              <w:t>月</w:t>
            </w:r>
            <w:r>
              <w:rPr>
                <w:rFonts w:hint="eastAsia" w:ascii="宋体" w:hAnsi="宋体" w:cs="宋体"/>
                <w:color w:val="auto"/>
                <w:sz w:val="21"/>
                <w:highlight w:val="none"/>
                <w:lang w:val="en-US" w:eastAsia="zh-CN"/>
              </w:rPr>
              <w:t>1日</w:t>
            </w:r>
            <w:r>
              <w:rPr>
                <w:rFonts w:ascii="宋体" w:hAnsi="宋体" w:cs="宋体"/>
                <w:color w:val="auto"/>
                <w:sz w:val="21"/>
                <w:highlight w:val="none"/>
              </w:rPr>
              <w:t>以来（以合同签订时间为准），投标人承担</w:t>
            </w:r>
            <w:r>
              <w:rPr>
                <w:rFonts w:hint="eastAsia" w:ascii="宋体" w:hAnsi="宋体" w:cs="宋体"/>
                <w:color w:val="auto"/>
                <w:sz w:val="21"/>
                <w:highlight w:val="none"/>
                <w:lang w:eastAsia="zh-CN"/>
              </w:rPr>
              <w:t>过</w:t>
            </w:r>
            <w:r>
              <w:rPr>
                <w:rFonts w:hint="eastAsia" w:ascii="宋体" w:hAnsi="宋体" w:cs="宋体"/>
                <w:color w:val="auto"/>
                <w:sz w:val="21"/>
                <w:highlight w:val="none"/>
              </w:rPr>
              <w:t>农业</w:t>
            </w:r>
            <w:r>
              <w:rPr>
                <w:rFonts w:ascii="宋体" w:hAnsi="宋体" w:cs="宋体"/>
                <w:color w:val="auto"/>
                <w:sz w:val="21"/>
                <w:highlight w:val="none"/>
              </w:rPr>
              <w:t>主管部门</w:t>
            </w:r>
            <w:r>
              <w:rPr>
                <w:rFonts w:hint="eastAsia" w:ascii="宋体" w:hAnsi="宋体" w:cs="宋体"/>
                <w:color w:val="auto"/>
                <w:sz w:val="21"/>
                <w:highlight w:val="none"/>
                <w:lang w:val="en-US" w:eastAsia="zh-CN"/>
              </w:rPr>
              <w:t>或市场监管部门相关</w:t>
            </w:r>
            <w:r>
              <w:rPr>
                <w:rFonts w:ascii="宋体" w:hAnsi="宋体" w:cs="宋体"/>
                <w:color w:val="auto"/>
                <w:sz w:val="21"/>
                <w:highlight w:val="none"/>
              </w:rPr>
              <w:t>农产品抽检任务的</w:t>
            </w:r>
            <w:r>
              <w:rPr>
                <w:rFonts w:hint="eastAsia" w:ascii="宋体" w:hAnsi="宋体" w:cs="宋体"/>
                <w:color w:val="auto"/>
                <w:sz w:val="21"/>
                <w:highlight w:val="none"/>
                <w:lang w:eastAsia="zh-CN"/>
              </w:rPr>
              <w:t>，</w:t>
            </w:r>
            <w:r>
              <w:rPr>
                <w:rFonts w:ascii="宋体" w:hAnsi="宋体" w:cs="宋体"/>
                <w:color w:val="auto"/>
                <w:sz w:val="21"/>
                <w:highlight w:val="none"/>
              </w:rPr>
              <w:t>有一例得</w:t>
            </w:r>
            <w:r>
              <w:rPr>
                <w:rFonts w:hint="eastAsia" w:ascii="宋体" w:hAnsi="宋体" w:cs="宋体"/>
                <w:color w:val="auto"/>
                <w:sz w:val="21"/>
                <w:highlight w:val="none"/>
                <w:lang w:val="en-US" w:eastAsia="zh-CN"/>
              </w:rPr>
              <w:t>2</w:t>
            </w:r>
            <w:r>
              <w:rPr>
                <w:rFonts w:ascii="宋体" w:hAnsi="宋体" w:cs="宋体"/>
                <w:color w:val="auto"/>
                <w:sz w:val="21"/>
                <w:highlight w:val="none"/>
              </w:rPr>
              <w:t>分，最多得</w:t>
            </w:r>
            <w:r>
              <w:rPr>
                <w:rFonts w:hint="eastAsia" w:ascii="宋体" w:hAnsi="宋体" w:cs="宋体"/>
                <w:color w:val="auto"/>
                <w:sz w:val="21"/>
                <w:highlight w:val="none"/>
                <w:lang w:val="en-US" w:eastAsia="zh-CN"/>
              </w:rPr>
              <w:t>10</w:t>
            </w:r>
            <w:r>
              <w:rPr>
                <w:rFonts w:ascii="宋体" w:hAnsi="宋体" w:cs="宋体"/>
                <w:color w:val="auto"/>
                <w:sz w:val="21"/>
                <w:highlight w:val="none"/>
              </w:rPr>
              <w:t>分</w:t>
            </w:r>
            <w:r>
              <w:rPr>
                <w:rFonts w:hint="eastAsia" w:ascii="宋体" w:hAnsi="宋体" w:cs="宋体"/>
                <w:color w:val="auto"/>
                <w:sz w:val="21"/>
                <w:highlight w:val="none"/>
              </w:rPr>
              <w:t>。</w:t>
            </w:r>
            <w:r>
              <w:rPr>
                <w:rFonts w:ascii="宋体" w:hAnsi="宋体" w:cs="宋体"/>
                <w:color w:val="auto"/>
                <w:sz w:val="21"/>
                <w:highlight w:val="none"/>
              </w:rPr>
              <w:t>（提供合同扫描件</w:t>
            </w:r>
            <w:r>
              <w:rPr>
                <w:rFonts w:hint="eastAsia" w:ascii="宋体" w:hAnsi="宋体" w:cs="宋体"/>
                <w:color w:val="auto"/>
                <w:sz w:val="21"/>
                <w:highlight w:val="none"/>
                <w:lang w:eastAsia="zh-CN"/>
              </w:rPr>
              <w:t>和对应合同结算发票（至少一张）</w:t>
            </w:r>
            <w:r>
              <w:rPr>
                <w:rFonts w:hint="eastAsia" w:ascii="宋体" w:hAnsi="宋体" w:cs="宋体"/>
                <w:color w:val="auto"/>
                <w:sz w:val="21"/>
                <w:highlight w:val="none"/>
                <w:lang w:val="en-US" w:eastAsia="zh-CN"/>
              </w:rPr>
              <w:t>加盖单位公章</w:t>
            </w:r>
            <w:r>
              <w:rPr>
                <w:rFonts w:ascii="宋体" w:hAnsi="宋体" w:cs="宋体"/>
                <w:color w:val="auto"/>
                <w:sz w:val="21"/>
                <w:highlight w:val="none"/>
              </w:rPr>
              <w:t>，以上每个</w:t>
            </w:r>
            <w:r>
              <w:rPr>
                <w:rFonts w:hint="eastAsia" w:ascii="宋体" w:hAnsi="宋体" w:cs="宋体"/>
                <w:color w:val="auto"/>
                <w:sz w:val="21"/>
                <w:highlight w:val="none"/>
                <w:lang w:eastAsia="zh-CN"/>
              </w:rPr>
              <w:t>业主单位</w:t>
            </w:r>
            <w:r>
              <w:rPr>
                <w:rFonts w:ascii="宋体" w:hAnsi="宋体" w:cs="宋体"/>
                <w:color w:val="auto"/>
                <w:sz w:val="21"/>
                <w:highlight w:val="none"/>
              </w:rPr>
              <w:t>业绩只能计算1次）。</w:t>
            </w:r>
          </w:p>
        </w:tc>
      </w:tr>
      <w:tr w14:paraId="51F199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CBD5C1">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2"/>
                <w:highlight w:val="none"/>
              </w:rPr>
              <w:t>4</w:t>
            </w:r>
          </w:p>
        </w:tc>
        <w:tc>
          <w:tcPr>
            <w:tcW w:w="109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CDDB2E6">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1"/>
                <w:highlight w:val="none"/>
              </w:rPr>
              <w:t>检测实力</w:t>
            </w:r>
          </w:p>
        </w:tc>
        <w:tc>
          <w:tcPr>
            <w:tcW w:w="7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C988733">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hint="eastAsia" w:ascii="宋体" w:hAnsi="宋体" w:cs="宋体"/>
                <w:color w:val="auto"/>
                <w:sz w:val="21"/>
                <w:highlight w:val="none"/>
              </w:rPr>
              <w:t>1</w:t>
            </w:r>
            <w:r>
              <w:rPr>
                <w:rFonts w:hint="eastAsia" w:ascii="宋体" w:hAnsi="宋体" w:cs="宋体"/>
                <w:color w:val="auto"/>
                <w:sz w:val="21"/>
                <w:highlight w:val="none"/>
                <w:lang w:val="en-US" w:eastAsia="zh-CN"/>
              </w:rPr>
              <w:t>0</w:t>
            </w:r>
            <w:r>
              <w:rPr>
                <w:rFonts w:ascii="宋体" w:hAnsi="宋体" w:cs="宋体"/>
                <w:color w:val="auto"/>
                <w:sz w:val="21"/>
                <w:highlight w:val="none"/>
              </w:rPr>
              <w:t>分</w:t>
            </w:r>
          </w:p>
        </w:tc>
        <w:tc>
          <w:tcPr>
            <w:tcW w:w="57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993C67B">
            <w:pPr>
              <w:spacing w:line="400" w:lineRule="exact"/>
              <w:ind w:firstLine="0" w:firstLineChars="0"/>
              <w:rPr>
                <w:color w:val="auto"/>
                <w:highlight w:val="none"/>
              </w:rPr>
            </w:pPr>
            <w:r>
              <w:rPr>
                <w:rFonts w:hint="eastAsia" w:ascii="宋体" w:hAnsi="宋体" w:cs="宋体"/>
                <w:color w:val="auto"/>
                <w:sz w:val="21"/>
                <w:highlight w:val="none"/>
              </w:rPr>
              <w:t>自2023年</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月</w:t>
            </w:r>
            <w:r>
              <w:rPr>
                <w:rFonts w:hint="eastAsia" w:ascii="宋体" w:hAnsi="宋体" w:cs="宋体"/>
                <w:color w:val="auto"/>
                <w:sz w:val="21"/>
                <w:highlight w:val="none"/>
                <w:lang w:val="en-US" w:eastAsia="zh-CN"/>
              </w:rPr>
              <w:t>1日</w:t>
            </w:r>
            <w:r>
              <w:rPr>
                <w:rFonts w:hint="eastAsia" w:ascii="宋体" w:hAnsi="宋体" w:cs="宋体"/>
                <w:color w:val="auto"/>
                <w:sz w:val="21"/>
                <w:highlight w:val="none"/>
              </w:rPr>
              <w:t>以来参加省级</w:t>
            </w:r>
            <w:r>
              <w:rPr>
                <w:rFonts w:hint="eastAsia" w:ascii="宋体" w:hAnsi="宋体" w:cs="宋体"/>
                <w:color w:val="auto"/>
                <w:sz w:val="21"/>
                <w:highlight w:val="none"/>
                <w:lang w:eastAsia="zh-CN"/>
              </w:rPr>
              <w:t>及以上</w:t>
            </w:r>
            <w:r>
              <w:rPr>
                <w:rFonts w:hint="eastAsia" w:ascii="宋体" w:hAnsi="宋体" w:cs="宋体"/>
                <w:color w:val="auto"/>
                <w:sz w:val="21"/>
                <w:highlight w:val="none"/>
              </w:rPr>
              <w:t>农产品相关参数能力验证情况打分。省级</w:t>
            </w:r>
            <w:r>
              <w:rPr>
                <w:rFonts w:hint="eastAsia" w:ascii="宋体" w:hAnsi="宋体" w:cs="宋体"/>
                <w:color w:val="auto"/>
                <w:sz w:val="21"/>
                <w:highlight w:val="none"/>
                <w:lang w:eastAsia="zh-CN"/>
              </w:rPr>
              <w:t>及以上</w:t>
            </w:r>
            <w:r>
              <w:rPr>
                <w:rFonts w:hint="eastAsia" w:ascii="宋体" w:hAnsi="宋体" w:cs="宋体"/>
                <w:color w:val="auto"/>
                <w:sz w:val="21"/>
                <w:highlight w:val="none"/>
              </w:rPr>
              <w:t>农产品项目能力验证每通过一个参数</w:t>
            </w:r>
            <w:r>
              <w:rPr>
                <w:rFonts w:hint="eastAsia" w:ascii="宋体" w:hAnsi="宋体" w:cs="宋体"/>
                <w:color w:val="auto"/>
                <w:sz w:val="21"/>
                <w:highlight w:val="none"/>
                <w:lang w:eastAsia="zh-CN"/>
              </w:rPr>
              <w:t>得</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分，</w:t>
            </w:r>
            <w:r>
              <w:rPr>
                <w:rFonts w:hint="eastAsia" w:ascii="宋体" w:hAnsi="宋体" w:cs="宋体"/>
                <w:color w:val="auto"/>
                <w:sz w:val="21"/>
                <w:highlight w:val="none"/>
                <w:lang w:eastAsia="zh-CN"/>
              </w:rPr>
              <w:t>最高得</w:t>
            </w:r>
            <w:r>
              <w:rPr>
                <w:rFonts w:hint="eastAsia" w:ascii="宋体" w:hAnsi="宋体" w:cs="宋体"/>
                <w:color w:val="auto"/>
                <w:sz w:val="21"/>
                <w:highlight w:val="none"/>
                <w:lang w:val="en-US" w:eastAsia="zh-CN"/>
              </w:rPr>
              <w:t>10</w:t>
            </w:r>
            <w:r>
              <w:rPr>
                <w:rFonts w:hint="eastAsia" w:ascii="宋体" w:hAnsi="宋体" w:cs="宋体"/>
                <w:color w:val="auto"/>
                <w:sz w:val="21"/>
                <w:highlight w:val="none"/>
              </w:rPr>
              <w:t>分。（提供能力验证扫描件</w:t>
            </w:r>
            <w:r>
              <w:rPr>
                <w:rFonts w:hint="eastAsia" w:ascii="宋体" w:hAnsi="宋体" w:cs="宋体"/>
                <w:color w:val="auto"/>
                <w:sz w:val="21"/>
                <w:highlight w:val="none"/>
                <w:lang w:val="en-US" w:eastAsia="zh-CN"/>
              </w:rPr>
              <w:t>加盖单位公章</w:t>
            </w:r>
            <w:r>
              <w:rPr>
                <w:rFonts w:hint="eastAsia" w:ascii="宋体" w:hAnsi="宋体" w:cs="宋体"/>
                <w:color w:val="auto"/>
                <w:sz w:val="21"/>
                <w:highlight w:val="none"/>
              </w:rPr>
              <w:t>，未提供或者提供单位不一致的，不得分）。</w:t>
            </w:r>
          </w:p>
        </w:tc>
      </w:tr>
      <w:tr w14:paraId="357D76E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97"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373CB59B">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2"/>
                <w:highlight w:val="none"/>
              </w:rPr>
              <w:t>5</w:t>
            </w:r>
          </w:p>
        </w:tc>
        <w:tc>
          <w:tcPr>
            <w:tcW w:w="1093"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96B1109">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1"/>
                <w:highlight w:val="none"/>
              </w:rPr>
              <w:t>应急能力</w:t>
            </w:r>
          </w:p>
        </w:tc>
        <w:tc>
          <w:tcPr>
            <w:tcW w:w="7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5969F50">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hint="eastAsia" w:ascii="宋体" w:hAnsi="宋体" w:cs="宋体"/>
                <w:color w:val="auto"/>
                <w:sz w:val="21"/>
                <w:highlight w:val="none"/>
                <w:lang w:val="en-US" w:eastAsia="zh-CN"/>
              </w:rPr>
              <w:t>14</w:t>
            </w:r>
            <w:r>
              <w:rPr>
                <w:rFonts w:ascii="宋体" w:hAnsi="宋体" w:cs="宋体"/>
                <w:color w:val="auto"/>
                <w:sz w:val="21"/>
                <w:highlight w:val="none"/>
              </w:rPr>
              <w:t>分</w:t>
            </w:r>
          </w:p>
        </w:tc>
        <w:tc>
          <w:tcPr>
            <w:tcW w:w="5740"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C205815">
            <w:pPr>
              <w:pBdr>
                <w:top w:val="none" w:color="000000" w:sz="0" w:space="0"/>
                <w:left w:val="none" w:color="000000" w:sz="0" w:space="0"/>
                <w:bottom w:val="none" w:color="000000" w:sz="0" w:space="0"/>
                <w:right w:val="none" w:color="000000" w:sz="0" w:space="0"/>
              </w:pBdr>
              <w:spacing w:line="400" w:lineRule="exact"/>
              <w:ind w:firstLine="0" w:firstLineChars="0"/>
              <w:rPr>
                <w:rFonts w:hint="eastAsia" w:ascii="宋体" w:hAnsi="宋体" w:eastAsia="宋体" w:cs="宋体"/>
                <w:color w:val="auto"/>
                <w:sz w:val="21"/>
                <w:highlight w:val="none"/>
                <w:lang w:eastAsia="zh-CN"/>
              </w:rPr>
            </w:pPr>
            <w:r>
              <w:rPr>
                <w:rFonts w:hint="eastAsia" w:ascii="宋体" w:hAnsi="宋体" w:cs="宋体"/>
                <w:color w:val="auto"/>
                <w:sz w:val="21"/>
                <w:highlight w:val="none"/>
                <w:lang w:eastAsia="zh-CN"/>
              </w:rPr>
              <w:t>（</w:t>
            </w:r>
            <w:r>
              <w:rPr>
                <w:rFonts w:hint="eastAsia" w:ascii="宋体" w:hAnsi="宋体" w:cs="宋体"/>
                <w:color w:val="auto"/>
                <w:sz w:val="21"/>
                <w:highlight w:val="none"/>
                <w:lang w:val="en-US" w:eastAsia="zh-CN"/>
              </w:rPr>
              <w:t>1</w:t>
            </w:r>
            <w:r>
              <w:rPr>
                <w:rFonts w:hint="eastAsia" w:ascii="宋体" w:hAnsi="宋体" w:cs="宋体"/>
                <w:color w:val="auto"/>
                <w:sz w:val="21"/>
                <w:highlight w:val="none"/>
                <w:lang w:eastAsia="zh-CN"/>
              </w:rPr>
              <w:t>）</w:t>
            </w:r>
            <w:r>
              <w:rPr>
                <w:rFonts w:hint="eastAsia" w:ascii="宋体" w:hAnsi="宋体" w:cs="宋体"/>
                <w:color w:val="auto"/>
                <w:sz w:val="21"/>
                <w:highlight w:val="none"/>
                <w:lang w:val="en-US" w:eastAsia="zh-CN"/>
              </w:rPr>
              <w:t>应急方案：</w:t>
            </w:r>
            <w:r>
              <w:rPr>
                <w:rFonts w:hint="eastAsia" w:ascii="宋体" w:hAnsi="宋体" w:cs="宋体"/>
                <w:color w:val="auto"/>
                <w:sz w:val="21"/>
                <w:highlight w:val="none"/>
              </w:rPr>
              <w:t>包括</w:t>
            </w:r>
            <w:r>
              <w:rPr>
                <w:rFonts w:hint="default" w:ascii="Calibri" w:hAnsi="Calibri" w:cs="Calibri"/>
                <w:color w:val="auto"/>
                <w:sz w:val="21"/>
                <w:highlight w:val="none"/>
              </w:rPr>
              <w:t>①</w:t>
            </w:r>
            <w:r>
              <w:rPr>
                <w:rFonts w:hint="eastAsia" w:ascii="宋体" w:hAnsi="宋体" w:cs="宋体"/>
                <w:color w:val="auto"/>
                <w:sz w:val="21"/>
                <w:highlight w:val="none"/>
                <w:lang w:val="en-US" w:eastAsia="zh-CN"/>
              </w:rPr>
              <w:t>应急人员安排</w:t>
            </w:r>
            <w:r>
              <w:rPr>
                <w:rFonts w:hint="default" w:ascii="Calibri" w:hAnsi="Calibri" w:cs="Calibri"/>
                <w:color w:val="auto"/>
                <w:sz w:val="21"/>
                <w:highlight w:val="none"/>
              </w:rPr>
              <w:t>②</w:t>
            </w:r>
            <w:r>
              <w:rPr>
                <w:rFonts w:hint="eastAsia" w:ascii="宋体" w:hAnsi="宋体" w:cs="宋体"/>
                <w:color w:val="auto"/>
                <w:sz w:val="21"/>
                <w:highlight w:val="none"/>
                <w:lang w:val="en-US" w:eastAsia="zh-CN"/>
              </w:rPr>
              <w:t>应急检测计划安排</w:t>
            </w:r>
            <w:r>
              <w:rPr>
                <w:rFonts w:hint="eastAsia" w:ascii="宋体" w:hAnsi="宋体" w:cs="宋体"/>
                <w:color w:val="auto"/>
                <w:sz w:val="21"/>
                <w:highlight w:val="none"/>
                <w:lang w:eastAsia="zh-CN"/>
              </w:rPr>
              <w:t>。</w:t>
            </w:r>
          </w:p>
          <w:p w14:paraId="02F40B61">
            <w:pPr>
              <w:spacing w:line="400" w:lineRule="exact"/>
              <w:ind w:firstLine="0" w:firstLineChars="0"/>
              <w:rPr>
                <w:rFonts w:hint="default" w:ascii="宋体" w:hAnsi="宋体" w:eastAsia="宋体" w:cs="宋体"/>
                <w:color w:val="auto"/>
                <w:sz w:val="21"/>
                <w:highlight w:val="none"/>
                <w:lang w:val="en-US" w:eastAsia="zh-CN"/>
              </w:rPr>
            </w:pPr>
            <w:r>
              <w:rPr>
                <w:rFonts w:hint="eastAsia" w:ascii="宋体" w:hAnsi="宋体" w:cs="宋体"/>
                <w:color w:val="auto"/>
                <w:sz w:val="21"/>
                <w:highlight w:val="none"/>
              </w:rPr>
              <w:t>每提供一个方面内容得2分，最多得</w:t>
            </w:r>
            <w:r>
              <w:rPr>
                <w:rFonts w:hint="eastAsia" w:ascii="宋体" w:hAnsi="宋体" w:cs="宋体"/>
                <w:color w:val="auto"/>
                <w:sz w:val="21"/>
                <w:highlight w:val="none"/>
                <w:lang w:val="en-US" w:eastAsia="zh-CN"/>
              </w:rPr>
              <w:t>4</w:t>
            </w:r>
            <w:r>
              <w:rPr>
                <w:rFonts w:hint="eastAsia" w:ascii="宋体" w:hAnsi="宋体" w:cs="宋体"/>
                <w:color w:val="auto"/>
                <w:sz w:val="21"/>
                <w:highlight w:val="none"/>
              </w:rPr>
              <w:t>分。上述</w:t>
            </w:r>
            <w:r>
              <w:rPr>
                <w:rFonts w:hint="eastAsia" w:ascii="宋体" w:hAnsi="宋体" w:cs="宋体"/>
                <w:color w:val="auto"/>
                <w:sz w:val="21"/>
                <w:highlight w:val="none"/>
                <w:lang w:val="en-US" w:eastAsia="zh-CN"/>
              </w:rPr>
              <w:t>2</w:t>
            </w:r>
            <w:r>
              <w:rPr>
                <w:rFonts w:hint="eastAsia" w:ascii="宋体" w:hAnsi="宋体" w:cs="宋体"/>
                <w:color w:val="auto"/>
                <w:sz w:val="21"/>
                <w:highlight w:val="none"/>
              </w:rPr>
              <w:t>个方面内容中，每方面内容每有一处内容存在缺陷或不足的扣1分，扣完为止。</w:t>
            </w:r>
          </w:p>
          <w:p w14:paraId="7EA69BFE">
            <w:pPr>
              <w:spacing w:line="400" w:lineRule="exact"/>
              <w:ind w:firstLine="0" w:firstLineChars="0"/>
              <w:rPr>
                <w:rFonts w:hint="eastAsia" w:ascii="宋体" w:hAnsi="宋体" w:eastAsia="宋体" w:cs="宋体"/>
                <w:color w:val="auto"/>
                <w:sz w:val="21"/>
                <w:highlight w:val="none"/>
                <w:lang w:eastAsia="zh-CN"/>
              </w:rPr>
            </w:pPr>
            <w:r>
              <w:rPr>
                <w:rFonts w:hint="eastAsia" w:ascii="宋体" w:hAnsi="宋体" w:cs="宋体"/>
                <w:color w:val="auto"/>
                <w:sz w:val="21"/>
                <w:highlight w:val="none"/>
                <w:lang w:eastAsia="zh-CN"/>
              </w:rPr>
              <w:t>（</w:t>
            </w:r>
            <w:r>
              <w:rPr>
                <w:rFonts w:hint="eastAsia" w:ascii="宋体" w:hAnsi="宋体" w:cs="宋体"/>
                <w:color w:val="auto"/>
                <w:sz w:val="21"/>
                <w:highlight w:val="none"/>
                <w:lang w:val="en-US" w:eastAsia="zh-CN"/>
              </w:rPr>
              <w:t>2</w:t>
            </w:r>
            <w:r>
              <w:rPr>
                <w:rFonts w:hint="eastAsia" w:ascii="宋体" w:hAnsi="宋体" w:cs="宋体"/>
                <w:color w:val="auto"/>
                <w:sz w:val="21"/>
                <w:highlight w:val="none"/>
                <w:lang w:eastAsia="zh-CN"/>
              </w:rPr>
              <w:t>）</w:t>
            </w:r>
            <w:r>
              <w:rPr>
                <w:rFonts w:hint="eastAsia" w:ascii="宋体" w:hAnsi="宋体" w:cs="宋体"/>
                <w:color w:val="auto"/>
                <w:sz w:val="21"/>
                <w:highlight w:val="none"/>
              </w:rPr>
              <w:t>投标人承诺完成应急响应的时间，2小时以内的得5分；4小时以内的得3分；6小时以内的得1分，超出6小时及未承诺的不得分。</w:t>
            </w:r>
            <w:r>
              <w:rPr>
                <w:rFonts w:hint="eastAsia" w:ascii="宋体" w:hAnsi="宋体" w:cs="宋体"/>
                <w:color w:val="auto"/>
                <w:sz w:val="21"/>
                <w:highlight w:val="none"/>
                <w:lang w:eastAsia="zh-CN"/>
              </w:rPr>
              <w:t>（</w:t>
            </w:r>
            <w:r>
              <w:rPr>
                <w:rFonts w:hint="eastAsia" w:ascii="宋体" w:hAnsi="宋体" w:cs="宋体"/>
                <w:color w:val="auto"/>
                <w:sz w:val="21"/>
                <w:highlight w:val="none"/>
              </w:rPr>
              <w:t>提供承诺书原件</w:t>
            </w:r>
            <w:r>
              <w:rPr>
                <w:rFonts w:hint="eastAsia" w:ascii="宋体" w:hAnsi="宋体" w:cs="宋体"/>
                <w:color w:val="auto"/>
                <w:sz w:val="21"/>
                <w:highlight w:val="none"/>
                <w:lang w:eastAsia="zh-CN"/>
              </w:rPr>
              <w:t>及</w:t>
            </w:r>
            <w:r>
              <w:rPr>
                <w:rFonts w:hint="eastAsia" w:ascii="宋体" w:hAnsi="宋体" w:cs="宋体"/>
                <w:color w:val="auto"/>
                <w:sz w:val="21"/>
                <w:highlight w:val="none"/>
              </w:rPr>
              <w:t>供应商实验室地址</w:t>
            </w:r>
            <w:r>
              <w:rPr>
                <w:rFonts w:hint="eastAsia" w:ascii="宋体" w:hAnsi="宋体" w:cs="宋体"/>
                <w:color w:val="auto"/>
                <w:sz w:val="21"/>
                <w:highlight w:val="none"/>
                <w:lang w:eastAsia="zh-CN"/>
              </w:rPr>
              <w:t>至采购单位工作时间段的</w:t>
            </w:r>
            <w:r>
              <w:rPr>
                <w:rFonts w:hint="eastAsia" w:ascii="宋体" w:hAnsi="宋体" w:cs="宋体"/>
                <w:color w:val="auto"/>
                <w:sz w:val="21"/>
                <w:highlight w:val="none"/>
              </w:rPr>
              <w:t>主流导航电子地图导航截图</w:t>
            </w:r>
            <w:r>
              <w:rPr>
                <w:rFonts w:hint="eastAsia" w:ascii="宋体" w:hAnsi="宋体" w:cs="宋体"/>
                <w:color w:val="auto"/>
                <w:sz w:val="21"/>
                <w:highlight w:val="none"/>
                <w:lang w:eastAsia="zh-CN"/>
              </w:rPr>
              <w:t>。）</w:t>
            </w:r>
          </w:p>
          <w:p w14:paraId="72D193F0">
            <w:pPr>
              <w:spacing w:line="400" w:lineRule="exact"/>
              <w:ind w:firstLine="0" w:firstLineChars="0"/>
              <w:rPr>
                <w:rFonts w:ascii="宋体" w:hAnsi="宋体"/>
                <w:color w:val="auto"/>
                <w:highlight w:val="none"/>
              </w:rPr>
            </w:pPr>
            <w:r>
              <w:rPr>
                <w:rFonts w:ascii="宋体" w:hAnsi="宋体" w:cs="宋体"/>
                <w:color w:val="auto"/>
                <w:sz w:val="21"/>
                <w:highlight w:val="none"/>
              </w:rPr>
              <w:t>（</w:t>
            </w:r>
            <w:r>
              <w:rPr>
                <w:rFonts w:hint="eastAsia" w:ascii="宋体" w:hAnsi="宋体" w:cs="宋体"/>
                <w:color w:val="auto"/>
                <w:sz w:val="21"/>
                <w:highlight w:val="none"/>
                <w:lang w:val="en-US" w:eastAsia="zh-CN"/>
              </w:rPr>
              <w:t>3</w:t>
            </w:r>
            <w:r>
              <w:rPr>
                <w:rFonts w:ascii="宋体" w:hAnsi="宋体" w:cs="宋体"/>
                <w:color w:val="auto"/>
                <w:sz w:val="21"/>
                <w:highlight w:val="none"/>
              </w:rPr>
              <w:t>）投标人根据招标人的需求作出应急响应，应急待检样品超</w:t>
            </w:r>
            <w:r>
              <w:rPr>
                <w:rFonts w:hint="eastAsia" w:ascii="宋体" w:hAnsi="宋体" w:cs="宋体"/>
                <w:color w:val="auto"/>
                <w:sz w:val="21"/>
                <w:highlight w:val="none"/>
              </w:rPr>
              <w:t>48</w:t>
            </w:r>
            <w:r>
              <w:rPr>
                <w:rFonts w:ascii="宋体" w:hAnsi="宋体" w:cs="宋体"/>
                <w:color w:val="auto"/>
                <w:sz w:val="21"/>
                <w:highlight w:val="none"/>
              </w:rPr>
              <w:t>小时出检测结果的得0分；应急待检样品48小时内出检测结果的得</w:t>
            </w:r>
            <w:r>
              <w:rPr>
                <w:rFonts w:hint="eastAsia" w:ascii="宋体" w:hAnsi="宋体" w:cs="宋体"/>
                <w:color w:val="auto"/>
                <w:sz w:val="21"/>
                <w:highlight w:val="none"/>
                <w:lang w:val="en-US" w:eastAsia="zh-CN"/>
              </w:rPr>
              <w:t>3</w:t>
            </w:r>
            <w:r>
              <w:rPr>
                <w:rFonts w:ascii="宋体" w:hAnsi="宋体" w:cs="宋体"/>
                <w:color w:val="auto"/>
                <w:sz w:val="21"/>
                <w:highlight w:val="none"/>
              </w:rPr>
              <w:t>分；应急待检样品24小时内出检测结果的得</w:t>
            </w:r>
            <w:r>
              <w:rPr>
                <w:rFonts w:hint="eastAsia" w:ascii="宋体" w:hAnsi="宋体" w:cs="宋体"/>
                <w:color w:val="auto"/>
                <w:sz w:val="21"/>
                <w:highlight w:val="none"/>
                <w:lang w:val="en-US" w:eastAsia="zh-CN"/>
              </w:rPr>
              <w:t>5</w:t>
            </w:r>
            <w:r>
              <w:rPr>
                <w:rFonts w:ascii="宋体" w:hAnsi="宋体" w:cs="宋体"/>
                <w:color w:val="auto"/>
                <w:sz w:val="21"/>
                <w:highlight w:val="none"/>
              </w:rPr>
              <w:t>分。</w:t>
            </w:r>
            <w:r>
              <w:rPr>
                <w:rFonts w:ascii="宋体" w:hAnsi="宋体" w:cs="宋体"/>
                <w:b/>
                <w:color w:val="auto"/>
                <w:sz w:val="21"/>
                <w:highlight w:val="none"/>
              </w:rPr>
              <w:t>（须提供承诺书原件，格式自拟）</w:t>
            </w:r>
          </w:p>
        </w:tc>
      </w:tr>
      <w:tr w14:paraId="5EA11C3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528C8C">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2"/>
                <w:highlight w:val="none"/>
              </w:rPr>
              <w:t>6</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076682">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ascii="宋体" w:hAnsi="宋体" w:cs="宋体"/>
                <w:color w:val="auto"/>
                <w:sz w:val="21"/>
                <w:highlight w:val="none"/>
              </w:rPr>
              <w:t>综合实力</w:t>
            </w:r>
          </w:p>
        </w:tc>
        <w:tc>
          <w:tcPr>
            <w:tcW w:w="7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B96E8F">
            <w:pPr>
              <w:pBdr>
                <w:top w:val="none" w:color="000000" w:sz="0" w:space="0"/>
                <w:left w:val="none" w:color="000000" w:sz="0" w:space="0"/>
                <w:bottom w:val="none" w:color="000000" w:sz="0" w:space="0"/>
                <w:right w:val="none" w:color="000000" w:sz="0" w:space="0"/>
              </w:pBdr>
              <w:spacing w:line="360" w:lineRule="atLeast"/>
              <w:ind w:firstLine="0" w:firstLineChars="0"/>
              <w:jc w:val="center"/>
              <w:rPr>
                <w:color w:val="auto"/>
                <w:sz w:val="21"/>
                <w:highlight w:val="none"/>
              </w:rPr>
            </w:pPr>
            <w:r>
              <w:rPr>
                <w:rFonts w:hint="eastAsia" w:ascii="宋体" w:hAnsi="宋体" w:cs="宋体"/>
                <w:color w:val="auto"/>
                <w:sz w:val="21"/>
                <w:highlight w:val="none"/>
              </w:rPr>
              <w:t>15</w:t>
            </w:r>
            <w:r>
              <w:rPr>
                <w:rFonts w:ascii="宋体" w:hAnsi="宋体" w:cs="宋体"/>
                <w:color w:val="auto"/>
                <w:sz w:val="21"/>
                <w:highlight w:val="none"/>
              </w:rPr>
              <w:t>分</w:t>
            </w:r>
          </w:p>
        </w:tc>
        <w:tc>
          <w:tcPr>
            <w:tcW w:w="57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F01399">
            <w:pPr>
              <w:numPr>
                <w:ilvl w:val="0"/>
                <w:numId w:val="3"/>
              </w:numPr>
              <w:spacing w:line="400" w:lineRule="exact"/>
              <w:ind w:firstLine="0" w:firstLineChars="0"/>
              <w:rPr>
                <w:rFonts w:ascii="宋体" w:hAnsi="宋体" w:cs="宋体"/>
                <w:color w:val="auto"/>
                <w:sz w:val="21"/>
                <w:highlight w:val="none"/>
              </w:rPr>
            </w:pPr>
            <w:r>
              <w:rPr>
                <w:rFonts w:ascii="宋体" w:hAnsi="宋体" w:cs="宋体"/>
                <w:color w:val="auto"/>
                <w:sz w:val="21"/>
                <w:highlight w:val="none"/>
              </w:rPr>
              <w:t>投标人具有满足农产品质量安全检测的设施和仪器设备。其中同时具有液质联用仪、液相色谱仪、气相色谱仪、气质联用仪、原子荧光光谱仪、原子吸收光谱仪、电感耦合等离子体质谱仪（ICP-MS），以上品类设备</w:t>
            </w:r>
            <w:r>
              <w:rPr>
                <w:rFonts w:hint="eastAsia" w:ascii="宋体" w:hAnsi="宋体" w:cs="宋体"/>
                <w:color w:val="auto"/>
                <w:sz w:val="21"/>
                <w:highlight w:val="none"/>
              </w:rPr>
              <w:t>齐全</w:t>
            </w:r>
            <w:r>
              <w:rPr>
                <w:rFonts w:ascii="宋体" w:hAnsi="宋体" w:cs="宋体"/>
                <w:color w:val="auto"/>
                <w:sz w:val="21"/>
                <w:highlight w:val="none"/>
              </w:rPr>
              <w:t>得7分。每少一个品类扣1分（分数扣完为止）（提供设备照片，设备</w:t>
            </w:r>
            <w:r>
              <w:rPr>
                <w:rFonts w:hint="eastAsia" w:ascii="宋体" w:hAnsi="宋体" w:cs="宋体"/>
                <w:color w:val="auto"/>
                <w:sz w:val="21"/>
                <w:highlight w:val="none"/>
              </w:rPr>
              <w:t>购置</w:t>
            </w:r>
            <w:r>
              <w:rPr>
                <w:rFonts w:ascii="宋体" w:hAnsi="宋体" w:cs="宋体"/>
                <w:color w:val="auto"/>
                <w:sz w:val="21"/>
                <w:highlight w:val="none"/>
              </w:rPr>
              <w:t>发票扫描件</w:t>
            </w:r>
            <w:r>
              <w:rPr>
                <w:rFonts w:hint="eastAsia" w:ascii="宋体" w:hAnsi="宋体" w:cs="宋体"/>
                <w:color w:val="auto"/>
                <w:sz w:val="21"/>
                <w:highlight w:val="none"/>
                <w:lang w:eastAsia="zh-CN"/>
              </w:rPr>
              <w:t>；</w:t>
            </w:r>
            <w:r>
              <w:rPr>
                <w:rFonts w:hint="eastAsia" w:ascii="宋体" w:hAnsi="宋体" w:cs="宋体"/>
                <w:color w:val="auto"/>
                <w:spacing w:val="-3"/>
                <w:sz w:val="21"/>
                <w:szCs w:val="21"/>
                <w:highlight w:val="none"/>
                <w:lang w:eastAsia="zh-CN"/>
              </w:rPr>
              <w:t>以上如为租赁的，另须提供投标人及租赁方盖章的有效的</w:t>
            </w:r>
            <w:r>
              <w:rPr>
                <w:rFonts w:ascii="宋体" w:hAnsi="宋体" w:cs="宋体"/>
                <w:color w:val="auto"/>
                <w:spacing w:val="-3"/>
                <w:sz w:val="21"/>
                <w:szCs w:val="21"/>
                <w:highlight w:val="none"/>
              </w:rPr>
              <w:t>租赁协议</w:t>
            </w:r>
            <w:r>
              <w:rPr>
                <w:rFonts w:hint="eastAsia" w:ascii="宋体" w:hAnsi="宋体" w:cs="宋体"/>
                <w:color w:val="auto"/>
                <w:spacing w:val="-3"/>
                <w:sz w:val="21"/>
                <w:szCs w:val="21"/>
                <w:highlight w:val="none"/>
                <w:lang w:eastAsia="zh-CN"/>
              </w:rPr>
              <w:t>及租赁费发票。</w:t>
            </w:r>
            <w:r>
              <w:rPr>
                <w:rFonts w:ascii="宋体" w:hAnsi="宋体" w:cs="宋体"/>
                <w:color w:val="auto"/>
                <w:sz w:val="21"/>
                <w:highlight w:val="none"/>
              </w:rPr>
              <w:t>未提供或者提供不全的，不得分）。</w:t>
            </w:r>
          </w:p>
          <w:p w14:paraId="30D3F1AD">
            <w:pPr>
              <w:spacing w:line="40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（2）</w:t>
            </w:r>
            <w:r>
              <w:rPr>
                <w:rFonts w:ascii="宋体" w:hAnsi="宋体" w:cs="宋体"/>
                <w:color w:val="auto"/>
                <w:sz w:val="21"/>
                <w:szCs w:val="21"/>
                <w:highlight w:val="none"/>
              </w:rPr>
              <w:t>投标人具有满足农产品质量安全</w:t>
            </w:r>
            <w:r>
              <w:rPr>
                <w:rFonts w:ascii="宋体" w:hAnsi="宋体" w:cs="宋体"/>
                <w:color w:val="auto"/>
                <w:spacing w:val="-3"/>
                <w:sz w:val="21"/>
                <w:szCs w:val="21"/>
                <w:highlight w:val="none"/>
              </w:rPr>
              <w:t>抽检工作要求的抽样工具、车辆及特殊贮存条件要求的运输设备</w:t>
            </w:r>
            <w:r>
              <w:rPr>
                <w:rFonts w:hint="eastAsia" w:ascii="宋体" w:hAnsi="宋体" w:cs="宋体"/>
                <w:color w:val="auto"/>
                <w:spacing w:val="-3"/>
                <w:sz w:val="21"/>
                <w:szCs w:val="21"/>
                <w:highlight w:val="none"/>
              </w:rPr>
              <w:t>、储存设备等</w:t>
            </w:r>
            <w:r>
              <w:rPr>
                <w:rFonts w:ascii="宋体" w:hAnsi="宋体" w:cs="宋体"/>
                <w:color w:val="auto"/>
                <w:spacing w:val="-3"/>
                <w:sz w:val="21"/>
                <w:szCs w:val="21"/>
                <w:highlight w:val="none"/>
              </w:rPr>
              <w:t>情况。</w:t>
            </w:r>
          </w:p>
          <w:p w14:paraId="29B3A0C1">
            <w:pPr>
              <w:pBdr>
                <w:top w:val="none" w:color="000000" w:sz="0" w:space="0"/>
                <w:left w:val="none" w:color="000000" w:sz="0" w:space="0"/>
                <w:bottom w:val="none" w:color="000000" w:sz="0" w:space="0"/>
                <w:right w:val="none" w:color="000000" w:sz="0" w:space="0"/>
              </w:pBdr>
              <w:spacing w:line="400" w:lineRule="exact"/>
              <w:ind w:firstLine="0" w:firstLineChars="0"/>
              <w:rPr>
                <w:color w:val="auto"/>
                <w:sz w:val="21"/>
                <w:szCs w:val="21"/>
                <w:highlight w:val="none"/>
              </w:rPr>
            </w:pPr>
            <w:r>
              <w:rPr>
                <w:rFonts w:hint="eastAsia" w:ascii="宋体" w:hAnsi="宋体" w:cs="宋体"/>
                <w:color w:val="auto"/>
                <w:spacing w:val="-3"/>
                <w:sz w:val="21"/>
                <w:szCs w:val="21"/>
                <w:highlight w:val="none"/>
              </w:rPr>
              <w:t>①</w:t>
            </w:r>
            <w:r>
              <w:rPr>
                <w:rFonts w:ascii="宋体" w:hAnsi="宋体" w:cs="宋体"/>
                <w:color w:val="auto"/>
                <w:sz w:val="21"/>
                <w:szCs w:val="21"/>
                <w:highlight w:val="none"/>
              </w:rPr>
              <w:t>投标人</w:t>
            </w:r>
            <w:r>
              <w:rPr>
                <w:rFonts w:hint="eastAsia" w:ascii="宋体" w:hAnsi="宋体" w:cs="宋体"/>
                <w:color w:val="auto"/>
                <w:sz w:val="21"/>
                <w:szCs w:val="21"/>
                <w:highlight w:val="none"/>
                <w:lang w:val="en-US" w:eastAsia="zh-CN"/>
              </w:rPr>
              <w:t>提供</w:t>
            </w:r>
            <w:r>
              <w:rPr>
                <w:rFonts w:ascii="宋体" w:hAnsi="宋体" w:cs="宋体"/>
                <w:color w:val="auto"/>
                <w:spacing w:val="-3"/>
                <w:sz w:val="21"/>
                <w:szCs w:val="21"/>
                <w:highlight w:val="none"/>
              </w:rPr>
              <w:t>采样车每有一辆得</w:t>
            </w:r>
            <w:r>
              <w:rPr>
                <w:rFonts w:hint="eastAsia" w:ascii="宋体" w:hAnsi="宋体" w:cs="宋体"/>
                <w:color w:val="auto"/>
                <w:spacing w:val="-3"/>
                <w:sz w:val="21"/>
                <w:szCs w:val="21"/>
                <w:highlight w:val="none"/>
                <w:lang w:val="en-US" w:eastAsia="zh-CN"/>
              </w:rPr>
              <w:t>0.5</w:t>
            </w:r>
            <w:r>
              <w:rPr>
                <w:rFonts w:ascii="宋体" w:hAnsi="宋体" w:cs="宋体"/>
                <w:color w:val="auto"/>
                <w:spacing w:val="-3"/>
                <w:sz w:val="21"/>
                <w:szCs w:val="21"/>
                <w:highlight w:val="none"/>
              </w:rPr>
              <w:t>分，满分2分；</w:t>
            </w:r>
          </w:p>
          <w:p w14:paraId="629B01ED">
            <w:pPr>
              <w:pBdr>
                <w:top w:val="none" w:color="000000" w:sz="0" w:space="0"/>
                <w:left w:val="none" w:color="000000" w:sz="0" w:space="0"/>
                <w:bottom w:val="none" w:color="000000" w:sz="0" w:space="0"/>
                <w:right w:val="none" w:color="000000" w:sz="0" w:space="0"/>
              </w:pBdr>
              <w:spacing w:line="400" w:lineRule="exact"/>
              <w:ind w:firstLine="0" w:firstLineChars="0"/>
              <w:rPr>
                <w:color w:val="auto"/>
                <w:sz w:val="21"/>
                <w:szCs w:val="21"/>
                <w:highlight w:val="none"/>
              </w:rPr>
            </w:pPr>
            <w:r>
              <w:rPr>
                <w:rFonts w:hint="eastAsia" w:ascii="宋体" w:hAnsi="宋体" w:cs="宋体"/>
                <w:color w:val="auto"/>
                <w:spacing w:val="-3"/>
                <w:sz w:val="21"/>
                <w:szCs w:val="21"/>
                <w:highlight w:val="none"/>
              </w:rPr>
              <w:t>②</w:t>
            </w:r>
            <w:r>
              <w:rPr>
                <w:rFonts w:ascii="宋体" w:hAnsi="宋体" w:cs="宋体"/>
                <w:color w:val="auto"/>
                <w:sz w:val="21"/>
                <w:szCs w:val="21"/>
                <w:highlight w:val="none"/>
              </w:rPr>
              <w:t>投标人</w:t>
            </w:r>
            <w:r>
              <w:rPr>
                <w:rFonts w:hint="eastAsia" w:ascii="宋体" w:hAnsi="宋体" w:cs="宋体"/>
                <w:color w:val="auto"/>
                <w:sz w:val="21"/>
                <w:szCs w:val="21"/>
                <w:highlight w:val="none"/>
                <w:lang w:val="en-US" w:eastAsia="zh-CN"/>
              </w:rPr>
              <w:t>提供</w:t>
            </w:r>
            <w:r>
              <w:rPr>
                <w:rFonts w:ascii="宋体" w:hAnsi="宋体" w:cs="宋体"/>
                <w:color w:val="auto"/>
                <w:spacing w:val="-3"/>
                <w:sz w:val="21"/>
                <w:szCs w:val="21"/>
                <w:highlight w:val="none"/>
              </w:rPr>
              <w:t>冷藏车每有一辆得1分</w:t>
            </w:r>
            <w:r>
              <w:rPr>
                <w:rFonts w:hint="eastAsia" w:ascii="宋体" w:hAnsi="宋体" w:cs="宋体"/>
                <w:color w:val="auto"/>
                <w:spacing w:val="-3"/>
                <w:sz w:val="21"/>
                <w:szCs w:val="21"/>
                <w:highlight w:val="none"/>
                <w:lang w:eastAsia="zh-CN"/>
              </w:rPr>
              <w:t>，</w:t>
            </w:r>
            <w:r>
              <w:rPr>
                <w:rFonts w:ascii="宋体" w:hAnsi="宋体" w:cs="宋体"/>
                <w:color w:val="auto"/>
                <w:spacing w:val="-3"/>
                <w:sz w:val="21"/>
                <w:szCs w:val="21"/>
                <w:highlight w:val="none"/>
              </w:rPr>
              <w:t>满分2分；</w:t>
            </w:r>
          </w:p>
          <w:p w14:paraId="13E5FAB6">
            <w:pPr>
              <w:pBdr>
                <w:top w:val="none" w:color="000000" w:sz="0" w:space="0"/>
                <w:left w:val="none" w:color="000000" w:sz="0" w:space="0"/>
                <w:bottom w:val="none" w:color="000000" w:sz="0" w:space="0"/>
                <w:right w:val="none" w:color="000000" w:sz="0" w:space="0"/>
              </w:pBdr>
              <w:spacing w:line="400" w:lineRule="exact"/>
              <w:ind w:firstLine="0" w:firstLineChars="0"/>
              <w:rPr>
                <w:color w:val="auto"/>
                <w:sz w:val="21"/>
                <w:szCs w:val="21"/>
                <w:highlight w:val="none"/>
              </w:rPr>
            </w:pPr>
            <w:r>
              <w:rPr>
                <w:rFonts w:hint="eastAsia" w:ascii="宋体" w:hAnsi="宋体" w:cs="宋体"/>
                <w:color w:val="auto"/>
                <w:spacing w:val="-3"/>
                <w:sz w:val="21"/>
                <w:szCs w:val="21"/>
                <w:highlight w:val="none"/>
              </w:rPr>
              <w:t>③</w:t>
            </w:r>
            <w:r>
              <w:rPr>
                <w:rFonts w:ascii="宋体" w:hAnsi="宋体" w:cs="宋体"/>
                <w:color w:val="auto"/>
                <w:sz w:val="21"/>
                <w:szCs w:val="21"/>
                <w:highlight w:val="none"/>
              </w:rPr>
              <w:t>投标人</w:t>
            </w:r>
            <w:r>
              <w:rPr>
                <w:rFonts w:ascii="宋体" w:hAnsi="宋体" w:cs="宋体"/>
                <w:color w:val="auto"/>
                <w:spacing w:val="-3"/>
                <w:sz w:val="21"/>
                <w:szCs w:val="21"/>
                <w:highlight w:val="none"/>
              </w:rPr>
              <w:t>具备用于样品保存的车载冰箱，每有</w:t>
            </w:r>
            <w:r>
              <w:rPr>
                <w:rFonts w:hint="eastAsia" w:ascii="宋体" w:hAnsi="宋体" w:cs="宋体"/>
                <w:color w:val="auto"/>
                <w:spacing w:val="-3"/>
                <w:sz w:val="21"/>
                <w:szCs w:val="21"/>
                <w:highlight w:val="none"/>
              </w:rPr>
              <w:t>1</w:t>
            </w:r>
            <w:r>
              <w:rPr>
                <w:rFonts w:ascii="宋体" w:hAnsi="宋体" w:cs="宋体"/>
                <w:color w:val="auto"/>
                <w:spacing w:val="-3"/>
                <w:sz w:val="21"/>
                <w:szCs w:val="21"/>
                <w:highlight w:val="none"/>
              </w:rPr>
              <w:t>个得0.5分，满分</w:t>
            </w:r>
            <w:r>
              <w:rPr>
                <w:rFonts w:hint="eastAsia" w:ascii="宋体" w:hAnsi="宋体" w:cs="宋体"/>
                <w:color w:val="auto"/>
                <w:spacing w:val="-3"/>
                <w:sz w:val="21"/>
                <w:szCs w:val="21"/>
                <w:highlight w:val="none"/>
              </w:rPr>
              <w:t>2</w:t>
            </w:r>
            <w:r>
              <w:rPr>
                <w:rFonts w:ascii="宋体" w:hAnsi="宋体" w:cs="宋体"/>
                <w:color w:val="auto"/>
                <w:spacing w:val="-3"/>
                <w:sz w:val="21"/>
                <w:szCs w:val="21"/>
                <w:highlight w:val="none"/>
              </w:rPr>
              <w:t>分。</w:t>
            </w:r>
          </w:p>
          <w:p w14:paraId="76B4C37B">
            <w:pPr>
              <w:pBdr>
                <w:top w:val="none" w:color="000000" w:sz="0" w:space="0"/>
                <w:left w:val="none" w:color="000000" w:sz="0" w:space="0"/>
                <w:bottom w:val="none" w:color="000000" w:sz="0" w:space="0"/>
                <w:right w:val="none" w:color="000000" w:sz="0" w:space="0"/>
              </w:pBdr>
              <w:spacing w:line="400" w:lineRule="exact"/>
              <w:ind w:firstLine="0" w:firstLineChars="0"/>
              <w:rPr>
                <w:color w:val="auto"/>
                <w:sz w:val="21"/>
                <w:szCs w:val="21"/>
                <w:highlight w:val="none"/>
              </w:rPr>
            </w:pPr>
            <w:r>
              <w:rPr>
                <w:rFonts w:hint="eastAsia" w:ascii="宋体" w:hAnsi="宋体" w:cs="宋体"/>
                <w:color w:val="auto"/>
                <w:spacing w:val="-3"/>
                <w:sz w:val="21"/>
                <w:szCs w:val="21"/>
                <w:highlight w:val="none"/>
              </w:rPr>
              <w:t>④</w:t>
            </w:r>
            <w:r>
              <w:rPr>
                <w:rFonts w:ascii="宋体" w:hAnsi="宋体" w:cs="宋体"/>
                <w:color w:val="auto"/>
                <w:spacing w:val="-3"/>
                <w:sz w:val="21"/>
                <w:szCs w:val="21"/>
                <w:highlight w:val="none"/>
              </w:rPr>
              <w:t>建有冷藏或冷冻农产品保存专用冷库</w:t>
            </w:r>
            <w:r>
              <w:rPr>
                <w:rFonts w:hint="eastAsia" w:ascii="宋体" w:hAnsi="宋体" w:cs="宋体"/>
                <w:color w:val="auto"/>
                <w:spacing w:val="-3"/>
                <w:sz w:val="21"/>
                <w:szCs w:val="21"/>
                <w:highlight w:val="none"/>
              </w:rPr>
              <w:t>的</w:t>
            </w:r>
            <w:r>
              <w:rPr>
                <w:rFonts w:ascii="宋体" w:hAnsi="宋体" w:cs="宋体"/>
                <w:color w:val="auto"/>
                <w:spacing w:val="-3"/>
                <w:sz w:val="21"/>
                <w:szCs w:val="21"/>
                <w:highlight w:val="none"/>
              </w:rPr>
              <w:t>得</w:t>
            </w:r>
            <w:r>
              <w:rPr>
                <w:rFonts w:hint="eastAsia" w:ascii="宋体" w:hAnsi="宋体" w:cs="宋体"/>
                <w:color w:val="auto"/>
                <w:spacing w:val="-3"/>
                <w:sz w:val="21"/>
                <w:szCs w:val="21"/>
                <w:highlight w:val="none"/>
              </w:rPr>
              <w:t>2</w:t>
            </w:r>
            <w:r>
              <w:rPr>
                <w:rFonts w:ascii="宋体" w:hAnsi="宋体" w:cs="宋体"/>
                <w:color w:val="auto"/>
                <w:spacing w:val="-3"/>
                <w:sz w:val="21"/>
                <w:szCs w:val="21"/>
                <w:highlight w:val="none"/>
              </w:rPr>
              <w:t>分，</w:t>
            </w:r>
            <w:r>
              <w:rPr>
                <w:rFonts w:hint="eastAsia" w:ascii="宋体" w:hAnsi="宋体" w:cs="宋体"/>
                <w:color w:val="auto"/>
                <w:spacing w:val="-3"/>
                <w:sz w:val="21"/>
                <w:szCs w:val="21"/>
                <w:highlight w:val="none"/>
              </w:rPr>
              <w:t>未能提供不得分</w:t>
            </w:r>
            <w:r>
              <w:rPr>
                <w:rFonts w:ascii="宋体" w:hAnsi="宋体" w:cs="宋体"/>
                <w:color w:val="auto"/>
                <w:spacing w:val="-3"/>
                <w:sz w:val="21"/>
                <w:szCs w:val="21"/>
                <w:highlight w:val="none"/>
              </w:rPr>
              <w:t>。</w:t>
            </w:r>
          </w:p>
          <w:p w14:paraId="6AD35547">
            <w:pPr>
              <w:pBdr>
                <w:top w:val="none" w:color="000000" w:sz="0" w:space="0"/>
                <w:left w:val="none" w:color="000000" w:sz="0" w:space="0"/>
                <w:bottom w:val="none" w:color="000000" w:sz="0" w:space="0"/>
                <w:right w:val="none" w:color="000000" w:sz="0" w:space="0"/>
              </w:pBdr>
              <w:spacing w:line="400" w:lineRule="exact"/>
              <w:ind w:firstLine="0" w:firstLineChars="0"/>
              <w:rPr>
                <w:rFonts w:hint="eastAsia" w:eastAsia="宋体"/>
                <w:color w:val="auto"/>
                <w:sz w:val="21"/>
                <w:highlight w:val="none"/>
                <w:lang w:eastAsia="zh-CN"/>
              </w:rPr>
            </w:pPr>
            <w:r>
              <w:rPr>
                <w:rFonts w:ascii="宋体" w:hAnsi="宋体" w:cs="宋体"/>
                <w:color w:val="auto"/>
                <w:spacing w:val="-3"/>
                <w:sz w:val="21"/>
                <w:szCs w:val="21"/>
                <w:highlight w:val="none"/>
              </w:rPr>
              <w:t>须提供以上车辆</w:t>
            </w:r>
            <w:r>
              <w:rPr>
                <w:rFonts w:hint="eastAsia" w:ascii="宋体" w:hAnsi="宋体" w:cs="宋体"/>
                <w:color w:val="auto"/>
                <w:spacing w:val="-3"/>
                <w:sz w:val="21"/>
                <w:szCs w:val="21"/>
                <w:highlight w:val="none"/>
              </w:rPr>
              <w:t>照片、</w:t>
            </w:r>
            <w:r>
              <w:rPr>
                <w:rFonts w:ascii="宋体" w:hAnsi="宋体" w:cs="宋体"/>
                <w:color w:val="auto"/>
                <w:spacing w:val="-3"/>
                <w:sz w:val="21"/>
                <w:szCs w:val="21"/>
                <w:highlight w:val="none"/>
              </w:rPr>
              <w:t>行驶证</w:t>
            </w:r>
            <w:r>
              <w:rPr>
                <w:rFonts w:hint="eastAsia" w:ascii="宋体" w:hAnsi="宋体" w:cs="宋体"/>
                <w:color w:val="auto"/>
                <w:spacing w:val="-3"/>
                <w:sz w:val="21"/>
                <w:szCs w:val="21"/>
                <w:highlight w:val="none"/>
                <w:lang w:eastAsia="zh-CN"/>
              </w:rPr>
              <w:t>、</w:t>
            </w:r>
            <w:r>
              <w:rPr>
                <w:rFonts w:ascii="宋体" w:hAnsi="宋体" w:cs="宋体"/>
                <w:color w:val="auto"/>
                <w:spacing w:val="-3"/>
                <w:sz w:val="21"/>
                <w:szCs w:val="21"/>
                <w:highlight w:val="none"/>
              </w:rPr>
              <w:t>车载冰箱</w:t>
            </w:r>
            <w:r>
              <w:rPr>
                <w:rFonts w:hint="eastAsia" w:ascii="宋体" w:hAnsi="宋体" w:cs="宋体"/>
                <w:color w:val="auto"/>
                <w:spacing w:val="-3"/>
                <w:sz w:val="21"/>
                <w:szCs w:val="21"/>
                <w:highlight w:val="none"/>
              </w:rPr>
              <w:t>、冷库</w:t>
            </w:r>
            <w:r>
              <w:rPr>
                <w:rFonts w:ascii="宋体" w:hAnsi="宋体" w:cs="宋体"/>
                <w:color w:val="auto"/>
                <w:spacing w:val="-3"/>
                <w:sz w:val="21"/>
                <w:szCs w:val="21"/>
                <w:highlight w:val="none"/>
              </w:rPr>
              <w:t>等设备</w:t>
            </w:r>
            <w:r>
              <w:rPr>
                <w:rFonts w:hint="eastAsia" w:ascii="宋体" w:hAnsi="宋体" w:cs="宋体"/>
                <w:color w:val="auto"/>
                <w:spacing w:val="-3"/>
                <w:sz w:val="21"/>
                <w:szCs w:val="21"/>
                <w:highlight w:val="none"/>
              </w:rPr>
              <w:t>照片、</w:t>
            </w:r>
            <w:r>
              <w:rPr>
                <w:rFonts w:ascii="宋体" w:hAnsi="宋体" w:cs="宋体"/>
                <w:color w:val="auto"/>
                <w:spacing w:val="-3"/>
                <w:sz w:val="21"/>
                <w:szCs w:val="21"/>
                <w:highlight w:val="none"/>
              </w:rPr>
              <w:t>发票复印件加盖供应商公章。</w:t>
            </w:r>
            <w:r>
              <w:rPr>
                <w:rFonts w:hint="eastAsia" w:ascii="宋体" w:hAnsi="宋体" w:cs="宋体"/>
                <w:color w:val="auto"/>
                <w:spacing w:val="-3"/>
                <w:sz w:val="21"/>
                <w:szCs w:val="21"/>
                <w:highlight w:val="none"/>
                <w:lang w:eastAsia="zh-CN"/>
              </w:rPr>
              <w:t>以上如为租赁的，另须提供投标人及租赁方盖章的有效的</w:t>
            </w:r>
            <w:r>
              <w:rPr>
                <w:rFonts w:ascii="宋体" w:hAnsi="宋体" w:cs="宋体"/>
                <w:color w:val="auto"/>
                <w:spacing w:val="-3"/>
                <w:sz w:val="21"/>
                <w:szCs w:val="21"/>
                <w:highlight w:val="none"/>
              </w:rPr>
              <w:t>租赁协议</w:t>
            </w:r>
            <w:r>
              <w:rPr>
                <w:rFonts w:hint="eastAsia" w:ascii="宋体" w:hAnsi="宋体" w:cs="宋体"/>
                <w:color w:val="auto"/>
                <w:spacing w:val="-3"/>
                <w:sz w:val="21"/>
                <w:szCs w:val="21"/>
                <w:highlight w:val="none"/>
                <w:lang w:eastAsia="zh-CN"/>
              </w:rPr>
              <w:t>及租赁费发票，</w:t>
            </w:r>
            <w:r>
              <w:rPr>
                <w:rFonts w:ascii="宋体" w:hAnsi="宋体" w:cs="宋体"/>
                <w:color w:val="auto"/>
                <w:sz w:val="21"/>
                <w:highlight w:val="none"/>
              </w:rPr>
              <w:t>未提供或者提供不全的，不得分</w:t>
            </w:r>
            <w:r>
              <w:rPr>
                <w:rFonts w:hint="eastAsia" w:ascii="宋体" w:hAnsi="宋体" w:cs="宋体"/>
                <w:color w:val="auto"/>
                <w:spacing w:val="-3"/>
                <w:sz w:val="21"/>
                <w:szCs w:val="21"/>
                <w:highlight w:val="none"/>
                <w:lang w:eastAsia="zh-CN"/>
              </w:rPr>
              <w:t>。</w:t>
            </w:r>
          </w:p>
        </w:tc>
      </w:tr>
    </w:tbl>
    <w:p w14:paraId="40B399D0">
      <w:pPr>
        <w:keepNext w:val="0"/>
        <w:keepLines w:val="0"/>
        <w:pageBreakBefore w:val="0"/>
        <w:widowControl w:val="0"/>
        <w:kinsoku/>
        <w:wordWrap/>
        <w:overflowPunct/>
        <w:topLinePunct w:val="0"/>
        <w:autoSpaceDE w:val="0"/>
        <w:autoSpaceDN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各投标人得分为评委会成员评分的算术平均分，分值保留小数点后两位。</w:t>
      </w:r>
    </w:p>
    <w:p w14:paraId="500E27D2">
      <w:pPr>
        <w:keepNext w:val="0"/>
        <w:keepLines w:val="0"/>
        <w:pageBreakBefore w:val="0"/>
        <w:widowControl w:val="0"/>
        <w:kinsoku/>
        <w:wordWrap/>
        <w:overflowPunct/>
        <w:topLinePunct w:val="0"/>
        <w:autoSpaceDE w:val="0"/>
        <w:autoSpaceDN w:val="0"/>
        <w:bidi w:val="0"/>
        <w:adjustRightInd w:val="0"/>
        <w:snapToGrid w:val="0"/>
        <w:spacing w:line="460" w:lineRule="exact"/>
        <w:ind w:firstLine="281" w:firstLineChars="100"/>
        <w:textAlignment w:val="auto"/>
        <w:rPr>
          <w:rFonts w:hint="eastAsia" w:ascii="宋体" w:hAnsi="宋体" w:eastAsia="宋体" w:cs="宋体"/>
          <w:b w:val="0"/>
          <w:bCs/>
          <w:color w:val="auto"/>
          <w:sz w:val="28"/>
          <w:szCs w:val="28"/>
          <w:highlight w:val="none"/>
        </w:rPr>
      </w:pPr>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val="zh-CN"/>
        </w:rPr>
        <w:t>价格分</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15</w:t>
      </w:r>
      <w:r>
        <w:rPr>
          <w:rFonts w:hint="eastAsia" w:ascii="宋体" w:hAnsi="宋体" w:eastAsia="宋体" w:cs="宋体"/>
          <w:b w:val="0"/>
          <w:bCs/>
          <w:color w:val="auto"/>
          <w:kern w:val="0"/>
          <w:sz w:val="28"/>
          <w:szCs w:val="28"/>
          <w:highlight w:val="none"/>
          <w:lang w:bidi="ar"/>
        </w:rPr>
        <w:t>分</w:t>
      </w:r>
    </w:p>
    <w:p w14:paraId="4BAEFE0D">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价格分统一采用低价优先法计算，即满足招标文件要求且报价</w:t>
      </w:r>
      <w:r>
        <w:rPr>
          <w:rFonts w:hint="eastAsia" w:ascii="宋体" w:hAnsi="宋体" w:cs="宋体"/>
          <w:color w:val="auto"/>
          <w:sz w:val="28"/>
          <w:szCs w:val="28"/>
          <w:highlight w:val="none"/>
          <w:lang w:eastAsia="zh-CN"/>
        </w:rPr>
        <w:t>（总价）</w:t>
      </w:r>
      <w:r>
        <w:rPr>
          <w:rFonts w:hint="eastAsia" w:ascii="宋体" w:hAnsi="宋体" w:eastAsia="宋体" w:cs="宋体"/>
          <w:color w:val="auto"/>
          <w:sz w:val="28"/>
          <w:szCs w:val="28"/>
          <w:highlight w:val="none"/>
        </w:rPr>
        <w:t>最低的投标报价为评标基准价，其价格分为满分。其他投标人的价格分统一按照下列公式计算：</w:t>
      </w:r>
    </w:p>
    <w:p w14:paraId="51C9E82A">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投标报价得分=（评标基准价/投标报价）×价格权值</w:t>
      </w:r>
    </w:p>
    <w:p w14:paraId="46E8B372">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7DC471A8">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（五）中标人的确定</w:t>
      </w:r>
    </w:p>
    <w:p w14:paraId="131B7DF4">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评委会汇总各评委评分后，按照得分从高到低的顺序推荐三名中标候选人，并编写评标报告。</w:t>
      </w:r>
    </w:p>
    <w:p w14:paraId="6415223C">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招标人委托评标委员会直接确定排名第一的中标候选人为中标人。</w:t>
      </w:r>
    </w:p>
    <w:p w14:paraId="07A87D5E">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（六）公告中标结果</w:t>
      </w:r>
    </w:p>
    <w:p w14:paraId="03A60045">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自确定中标人之日起2个工作日内，在</w:t>
      </w:r>
      <w:r>
        <w:rPr>
          <w:rFonts w:hint="eastAsia" w:ascii="宋体" w:hAnsi="宋体" w:cs="宋体"/>
          <w:color w:val="auto"/>
          <w:sz w:val="28"/>
          <w:szCs w:val="28"/>
          <w:highlight w:val="none"/>
          <w:lang w:eastAsia="zh-CN"/>
        </w:rPr>
        <w:t>南通市农业农村局网站</w:t>
      </w:r>
      <w:r>
        <w:rPr>
          <w:rFonts w:hint="eastAsia" w:ascii="宋体" w:hAnsi="宋体" w:eastAsia="宋体" w:cs="宋体"/>
          <w:color w:val="auto"/>
          <w:sz w:val="28"/>
          <w:szCs w:val="28"/>
          <w:highlight w:val="none"/>
        </w:rPr>
        <w:t>公告中标结果，公告期限为1个工作日。</w:t>
      </w:r>
    </w:p>
    <w:p w14:paraId="2BE4325B">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lang w:eastAsia="zh-CN"/>
        </w:rPr>
        <w:t>七</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发放中标通知书</w:t>
      </w:r>
    </w:p>
    <w:p w14:paraId="3DBBFB07">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公告中标结果的同时，招标人</w:t>
      </w:r>
      <w:r>
        <w:rPr>
          <w:rFonts w:hint="eastAsia" w:ascii="宋体" w:hAnsi="宋体" w:eastAsia="宋体" w:cs="宋体"/>
          <w:bCs/>
          <w:color w:val="auto"/>
          <w:sz w:val="28"/>
          <w:szCs w:val="28"/>
          <w:highlight w:val="none"/>
        </w:rPr>
        <w:t>向中标人发放中标通知书。</w:t>
      </w:r>
    </w:p>
    <w:p w14:paraId="362373E3">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中标通知书发出后，招标人不得违法改变中标结果，中标人无正当理由不得放弃中标。</w:t>
      </w:r>
    </w:p>
    <w:p w14:paraId="75B8E72B">
      <w:pPr>
        <w:keepNext w:val="0"/>
        <w:keepLines w:val="0"/>
        <w:pageBreakBefore w:val="0"/>
        <w:widowControl w:val="0"/>
        <w:kinsoku/>
        <w:wordWrap/>
        <w:overflowPunct/>
        <w:topLinePunct w:val="0"/>
        <w:bidi w:val="0"/>
        <w:adjustRightInd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八</w:t>
      </w:r>
      <w:r>
        <w:rPr>
          <w:rFonts w:hint="eastAsia" w:ascii="宋体" w:hAnsi="宋体" w:eastAsia="宋体" w:cs="宋体"/>
          <w:b/>
          <w:bCs/>
          <w:color w:val="auto"/>
          <w:sz w:val="28"/>
          <w:szCs w:val="28"/>
          <w:highlight w:val="none"/>
        </w:rPr>
        <w:t>）其他</w:t>
      </w:r>
    </w:p>
    <w:p w14:paraId="595AC246">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当排名第一的成交候选人无正当理由放弃成交，被查实存在影响成交结果的违法行为等情形，招标人有权按照政购相关法律法规的规定对其采取惩戒措施，包含但不限于列入采购失信人黑名单等措施。</w:t>
      </w:r>
    </w:p>
    <w:p w14:paraId="0A3BB618">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t>当排名第一的成交候选人放弃成交、因不可抗力不能履行合同，或者被查实存在影响成交结果的违法行为等情形，不符合成交条件的，招标人可以按照评标委员会提出的成交候选人名单排序依次确定其他成交候选人为</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，也可以重新采购。</w:t>
      </w:r>
    </w:p>
    <w:p w14:paraId="2CED676E">
      <w:pPr>
        <w:adjustRightInd w:val="0"/>
        <w:snapToGrid w:val="0"/>
        <w:spacing w:line="4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6"/>
          <w:szCs w:val="36"/>
          <w:highlight w:val="none"/>
        </w:rPr>
        <w:t>第五部分  投标文件组成</w:t>
      </w:r>
    </w:p>
    <w:p w14:paraId="69B54309">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投标文件由资格审查文件、商务技术文件、价格文件、电子响应文件四部分组成。</w:t>
      </w:r>
    </w:p>
    <w:p w14:paraId="7ECB0739">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一、资格审查文件（不能出现商务技术文件、价格文件）</w:t>
      </w:r>
    </w:p>
    <w:p w14:paraId="14ECF345">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资格审查部分</w:t>
      </w:r>
    </w:p>
    <w:p w14:paraId="348B4CD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1.投标人符合本项目投标人资格要求的承诺函（格式见附件1）；</w:t>
      </w:r>
    </w:p>
    <w:p w14:paraId="6EF8F10B">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2.法定代表人身份证明书（格式见附件2）；</w:t>
      </w:r>
    </w:p>
    <w:p w14:paraId="27A1338B">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3.</w:t>
      </w:r>
      <w:r>
        <w:rPr>
          <w:rFonts w:hint="eastAsia" w:ascii="宋体" w:hAnsi="宋体" w:eastAsia="宋体" w:cs="宋体"/>
          <w:color w:val="auto"/>
          <w:kern w:val="0"/>
          <w:sz w:val="28"/>
          <w:szCs w:val="28"/>
          <w:highlight w:val="none"/>
          <w:lang w:val="en-US" w:eastAsia="zh-CN"/>
        </w:rPr>
        <w:t>授权委托人需提供：①</w:t>
      </w:r>
      <w:r>
        <w:rPr>
          <w:rFonts w:hint="eastAsia" w:ascii="宋体" w:hAnsi="宋体" w:eastAsia="宋体" w:cs="宋体"/>
          <w:color w:val="auto"/>
          <w:kern w:val="0"/>
          <w:sz w:val="28"/>
          <w:szCs w:val="28"/>
          <w:highlight w:val="none"/>
          <w:lang w:val="zh-CN"/>
        </w:rPr>
        <w:t>法定代表人身份证明书（格式见附件2）②法定代表人授权委托书原件，</w:t>
      </w:r>
      <w:r>
        <w:rPr>
          <w:rFonts w:hint="eastAsia" w:ascii="宋体" w:hAnsi="宋体" w:eastAsia="宋体" w:cs="宋体"/>
          <w:color w:val="auto"/>
          <w:kern w:val="0"/>
          <w:sz w:val="28"/>
          <w:szCs w:val="28"/>
          <w:highlight w:val="none"/>
          <w:lang w:val="en-US" w:eastAsia="zh-CN"/>
        </w:rPr>
        <w:t>投标</w:t>
      </w:r>
      <w:r>
        <w:rPr>
          <w:rFonts w:hint="eastAsia" w:ascii="宋体" w:hAnsi="宋体" w:eastAsia="宋体" w:cs="宋体"/>
          <w:color w:val="auto"/>
          <w:kern w:val="0"/>
          <w:sz w:val="28"/>
          <w:szCs w:val="28"/>
          <w:highlight w:val="none"/>
          <w:lang w:val="zh-CN"/>
        </w:rPr>
        <w:t>代表本人身份证复印件（格式见附件3）；</w:t>
      </w:r>
    </w:p>
    <w:p w14:paraId="65EAD58A">
      <w:pPr>
        <w:keepNext w:val="0"/>
        <w:keepLines w:val="0"/>
        <w:pageBreakBefore w:val="0"/>
        <w:widowControl w:val="0"/>
        <w:kinsoku/>
        <w:wordWrap/>
        <w:overflowPunct/>
        <w:topLinePunct w:val="0"/>
        <w:autoSpaceDE/>
        <w:autoSpaceDN/>
        <w:bidi w:val="0"/>
        <w:spacing w:line="460" w:lineRule="exact"/>
        <w:ind w:firstLine="56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提供</w:t>
      </w:r>
      <w:r>
        <w:rPr>
          <w:rFonts w:hint="eastAsia" w:ascii="宋体" w:hAnsi="宋体" w:eastAsia="宋体" w:cs="宋体"/>
          <w:b w:val="0"/>
          <w:bCs/>
          <w:color w:val="auto"/>
          <w:sz w:val="28"/>
          <w:szCs w:val="28"/>
          <w:highlight w:val="none"/>
          <w:lang w:val="en-US" w:eastAsia="zh-CN"/>
        </w:rPr>
        <w:t>营业执照副本复印件并加盖公章；</w:t>
      </w:r>
    </w:p>
    <w:p w14:paraId="6C30870C">
      <w:pPr>
        <w:keepNext w:val="0"/>
        <w:keepLines w:val="0"/>
        <w:pageBreakBefore w:val="0"/>
        <w:widowControl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val="0"/>
          <w:bCs/>
          <w:color w:val="auto"/>
          <w:sz w:val="28"/>
          <w:szCs w:val="28"/>
          <w:highlight w:val="none"/>
          <w:lang w:val="en-US" w:eastAsia="zh-CN"/>
        </w:rPr>
        <w:t>5.</w:t>
      </w:r>
      <w:r>
        <w:rPr>
          <w:rFonts w:hint="eastAsia" w:ascii="宋体" w:hAnsi="宋体" w:eastAsia="宋体" w:cs="宋体"/>
          <w:color w:val="auto"/>
          <w:sz w:val="28"/>
          <w:szCs w:val="28"/>
          <w:highlight w:val="none"/>
          <w:lang w:val="zh-CN"/>
        </w:rPr>
        <w:t>具有有效期内的计量认证（CMA）资质证书及农产品质量安全检验检测机构认证资格（CATL）证书，证书中检测能力列表须包含标书中所涉及的全部检测参数（提供列表索引相关检测能力对应的证书附件页码，便于查阅），</w:t>
      </w:r>
      <w:r>
        <w:rPr>
          <w:rFonts w:hint="eastAsia" w:ascii="宋体" w:hAnsi="宋体" w:eastAsia="宋体" w:cs="宋体"/>
          <w:color w:val="auto"/>
          <w:sz w:val="28"/>
          <w:szCs w:val="28"/>
          <w:highlight w:val="none"/>
          <w:lang w:val="en-US" w:eastAsia="zh-CN"/>
        </w:rPr>
        <w:t>提供证明材料并加盖公章。</w:t>
      </w:r>
    </w:p>
    <w:p w14:paraId="0F486619">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二、商务技术文件（不能出现价格文件）</w:t>
      </w:r>
    </w:p>
    <w:p w14:paraId="428F293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实施方案、人员配备、类似业绩、检测实力、应急能力、综合实力</w:t>
      </w:r>
      <w:r>
        <w:rPr>
          <w:rFonts w:hint="eastAsia" w:ascii="宋体" w:hAnsi="宋体" w:eastAsia="宋体" w:cs="宋体"/>
          <w:color w:val="auto"/>
          <w:kern w:val="0"/>
          <w:sz w:val="28"/>
          <w:szCs w:val="28"/>
          <w:highlight w:val="none"/>
        </w:rPr>
        <w:t>等；</w:t>
      </w:r>
    </w:p>
    <w:p w14:paraId="29FF07A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zh-CN"/>
        </w:rPr>
        <w:t>为方便评委评审，请供应商按评审办法中所涉及的事项顺序进行编制，可以补充相关材料；</w:t>
      </w:r>
    </w:p>
    <w:p w14:paraId="79A38DF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Cs/>
          <w:color w:val="auto"/>
          <w:kern w:val="0"/>
          <w:sz w:val="28"/>
          <w:szCs w:val="28"/>
          <w:highlight w:val="none"/>
          <w:lang w:val="zh-CN"/>
        </w:rPr>
      </w:pP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lang w:val="zh-CN"/>
        </w:rPr>
        <w:t>评审办法中未涉及的事项，供应商认为需要提交的其他资料。</w:t>
      </w:r>
    </w:p>
    <w:p w14:paraId="6684AD81">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outlineLvl w:val="1"/>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三、价格文件</w:t>
      </w:r>
    </w:p>
    <w:p w14:paraId="090771E3">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lang w:val="en-US" w:eastAsia="zh-CN"/>
        </w:rPr>
        <w:t>报价总表</w:t>
      </w:r>
      <w:r>
        <w:rPr>
          <w:rFonts w:hint="eastAsia" w:ascii="宋体" w:hAnsi="宋体" w:eastAsia="宋体" w:cs="宋体"/>
          <w:color w:val="auto"/>
          <w:kern w:val="0"/>
          <w:sz w:val="28"/>
          <w:szCs w:val="28"/>
          <w:highlight w:val="none"/>
          <w:lang w:val="zh-CN"/>
        </w:rPr>
        <w:t>（格式见附件</w:t>
      </w: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lang w:val="zh-CN"/>
        </w:rPr>
        <w:t>）；</w:t>
      </w:r>
    </w:p>
    <w:p w14:paraId="6044690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cs="宋体"/>
          <w:color w:val="auto"/>
          <w:kern w:val="0"/>
          <w:sz w:val="28"/>
          <w:szCs w:val="28"/>
          <w:highlight w:val="none"/>
          <w:lang w:val="en-US" w:eastAsia="zh-CN"/>
        </w:rPr>
        <w:t>2.投标人</w:t>
      </w:r>
      <w:r>
        <w:rPr>
          <w:rFonts w:hint="eastAsia" w:ascii="宋体" w:hAnsi="宋体" w:eastAsia="宋体" w:cs="宋体"/>
          <w:color w:val="auto"/>
          <w:kern w:val="0"/>
          <w:sz w:val="28"/>
          <w:szCs w:val="28"/>
          <w:highlight w:val="none"/>
          <w:lang w:val="zh-CN"/>
        </w:rPr>
        <w:t>信用承诺书（格式见附件</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p>
    <w:p w14:paraId="39EA0675">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outlineLvl w:val="1"/>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四、电子响应文件</w:t>
      </w:r>
    </w:p>
    <w:p w14:paraId="0D9BD092">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28"/>
          <w:szCs w:val="28"/>
          <w:highlight w:val="none"/>
          <w:lang w:val="en-US" w:eastAsia="zh-CN"/>
        </w:rPr>
        <w:t>电子响应文件的内容为“资格审查文件、商务技术文件、价格文件”的打印盖章后的响应文件的扫描件。</w:t>
      </w:r>
      <w:r>
        <w:rPr>
          <w:rFonts w:hint="eastAsia" w:ascii="宋体" w:hAnsi="宋体" w:eastAsia="宋体" w:cs="宋体"/>
          <w:color w:val="auto"/>
          <w:kern w:val="0"/>
          <w:sz w:val="32"/>
          <w:szCs w:val="32"/>
          <w:highlight w:val="none"/>
          <w:lang w:val="zh-CN"/>
        </w:rPr>
        <w:br w:type="page"/>
      </w:r>
    </w:p>
    <w:p w14:paraId="3190F927">
      <w:pPr>
        <w:snapToGrid w:val="0"/>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kern w:val="0"/>
          <w:sz w:val="32"/>
          <w:szCs w:val="32"/>
          <w:highlight w:val="none"/>
          <w:lang w:val="zh-CN"/>
        </w:rPr>
        <w:t>附件1</w:t>
      </w:r>
    </w:p>
    <w:p w14:paraId="557D2935">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投标人符合本项目投标人资格要求的承诺函</w:t>
      </w:r>
    </w:p>
    <w:p w14:paraId="3411AC90">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0E965C9">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我单位参加</w:t>
      </w:r>
      <w:r>
        <w:rPr>
          <w:rFonts w:hint="eastAsia" w:ascii="宋体" w:hAnsi="宋体" w:eastAsia="宋体" w:cs="宋体"/>
          <w:bCs/>
          <w:color w:val="auto"/>
          <w:sz w:val="28"/>
          <w:szCs w:val="28"/>
          <w:highlight w:val="none"/>
          <w:u w:val="single"/>
        </w:rPr>
        <w:t>________________ _</w:t>
      </w:r>
      <w:r>
        <w:rPr>
          <w:rFonts w:hint="eastAsia" w:ascii="宋体" w:hAnsi="宋体" w:eastAsia="宋体" w:cs="宋体"/>
          <w:bCs/>
          <w:color w:val="auto"/>
          <w:sz w:val="28"/>
          <w:szCs w:val="28"/>
          <w:highlight w:val="none"/>
        </w:rPr>
        <w:t>（项目名称），</w:t>
      </w:r>
      <w:r>
        <w:rPr>
          <w:rFonts w:hint="eastAsia" w:ascii="宋体" w:hAnsi="宋体" w:eastAsia="宋体" w:cs="宋体"/>
          <w:bCs/>
          <w:color w:val="auto"/>
          <w:sz w:val="28"/>
          <w:szCs w:val="28"/>
          <w:highlight w:val="none"/>
          <w:u w:val="single"/>
        </w:rPr>
        <w:t>_______ __________</w:t>
      </w:r>
      <w:r>
        <w:rPr>
          <w:rFonts w:hint="eastAsia" w:ascii="宋体" w:hAnsi="宋体" w:eastAsia="宋体" w:cs="宋体"/>
          <w:bCs/>
          <w:color w:val="auto"/>
          <w:sz w:val="28"/>
          <w:szCs w:val="28"/>
          <w:highlight w:val="none"/>
        </w:rPr>
        <w:t>（项目编号）投标活动。针对本项目投标人资格要求做出如下承诺：</w:t>
      </w:r>
    </w:p>
    <w:p w14:paraId="6FC732CB">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1.我单位具有独立承担民事责任的能力；</w:t>
      </w:r>
    </w:p>
    <w:p w14:paraId="2F794D13">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2.我单位具有良好的商业信誉和健全的财务会计制度；</w:t>
      </w:r>
    </w:p>
    <w:p w14:paraId="5135B93E">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3.我单位具有履行合同所必需的设备和专业技术能力；</w:t>
      </w:r>
    </w:p>
    <w:p w14:paraId="541F7FF3">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4.我单位有依法缴纳税收和社会保障资金的良好记录；</w:t>
      </w:r>
    </w:p>
    <w:p w14:paraId="2699E363">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5.我单位参加采购活动前三年内，在经营活动中没有重大违法记录；（重大违法记录的法定界定为 “因违法经营受到刑事处罚或者责令停产停业、吊销许可证或者执照、较大数额罚款等行政处罚”</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“较大数额罚款”认定为200万元以上的罚款，法律、行政法规以及国务院有关部门明确规定相关领域“较大数额罚款”标准高于200万元的，从其规定。）</w:t>
      </w:r>
      <w:r>
        <w:rPr>
          <w:rFonts w:hint="eastAsia" w:ascii="宋体" w:hAnsi="宋体" w:cs="宋体"/>
          <w:color w:val="auto"/>
          <w:sz w:val="28"/>
          <w:szCs w:val="28"/>
          <w:highlight w:val="none"/>
          <w:lang w:eastAsia="zh-CN"/>
        </w:rPr>
        <w:t>。</w:t>
      </w:r>
    </w:p>
    <w:p w14:paraId="0D2D3A26">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6.我单位满足法律、行政法规规定的其他条件。</w:t>
      </w:r>
    </w:p>
    <w:p w14:paraId="2A4169D2">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p>
    <w:p w14:paraId="68FABD98">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p>
    <w:p w14:paraId="4025803F">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Cs/>
          <w:color w:val="auto"/>
          <w:sz w:val="28"/>
          <w:szCs w:val="28"/>
          <w:highlight w:val="none"/>
        </w:rPr>
      </w:pPr>
    </w:p>
    <w:p w14:paraId="45E4FD74">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Cs/>
          <w:color w:val="auto"/>
          <w:sz w:val="28"/>
          <w:szCs w:val="28"/>
          <w:highlight w:val="none"/>
        </w:rPr>
      </w:pPr>
    </w:p>
    <w:p w14:paraId="5EC0D74C">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Cs/>
          <w:color w:val="auto"/>
          <w:sz w:val="28"/>
          <w:szCs w:val="28"/>
          <w:highlight w:val="none"/>
        </w:rPr>
      </w:pPr>
    </w:p>
    <w:p w14:paraId="7CD4EF5C">
      <w:pPr>
        <w:keepNext w:val="0"/>
        <w:keepLines w:val="0"/>
        <w:pageBreakBefore w:val="0"/>
        <w:kinsoku/>
        <w:wordWrap/>
        <w:overflowPunct/>
        <w:topLinePunct w:val="0"/>
        <w:autoSpaceDE/>
        <w:autoSpaceDN/>
        <w:bidi w:val="0"/>
        <w:spacing w:line="460" w:lineRule="exact"/>
        <w:ind w:firstLine="560" w:firstLineChars="200"/>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承诺人名称（公章）：</w:t>
      </w:r>
    </w:p>
    <w:p w14:paraId="7AB4437A">
      <w:pPr>
        <w:keepNext w:val="0"/>
        <w:keepLines w:val="0"/>
        <w:pageBreakBefore w:val="0"/>
        <w:kinsoku/>
        <w:wordWrap/>
        <w:overflowPunct/>
        <w:topLinePunct w:val="0"/>
        <w:autoSpaceDE/>
        <w:autoSpaceDN/>
        <w:bidi w:val="0"/>
        <w:spacing w:line="460" w:lineRule="exact"/>
        <w:ind w:firstLine="560" w:firstLineChars="200"/>
        <w:jc w:val="right"/>
        <w:textAlignment w:val="auto"/>
        <w:rPr>
          <w:rFonts w:hint="eastAsia" w:ascii="宋体" w:hAnsi="宋体" w:eastAsia="宋体" w:cs="宋体"/>
          <w:bCs/>
          <w:color w:val="auto"/>
          <w:sz w:val="28"/>
          <w:szCs w:val="28"/>
          <w:highlight w:val="none"/>
        </w:rPr>
      </w:pPr>
    </w:p>
    <w:p w14:paraId="5F7CE8E6">
      <w:pPr>
        <w:keepNext w:val="0"/>
        <w:keepLines w:val="0"/>
        <w:pageBreakBefore w:val="0"/>
        <w:kinsoku/>
        <w:wordWrap/>
        <w:overflowPunct/>
        <w:topLinePunct w:val="0"/>
        <w:autoSpaceDE/>
        <w:autoSpaceDN/>
        <w:bidi w:val="0"/>
        <w:spacing w:line="460" w:lineRule="exact"/>
        <w:ind w:firstLine="560" w:firstLineChars="200"/>
        <w:jc w:val="right"/>
        <w:textAlignment w:val="auto"/>
        <w:rPr>
          <w:rFonts w:hint="eastAsia" w:ascii="宋体" w:hAnsi="宋体" w:eastAsia="宋体" w:cs="宋体"/>
          <w:bCs/>
          <w:color w:val="auto"/>
          <w:sz w:val="28"/>
          <w:szCs w:val="28"/>
          <w:highlight w:val="none"/>
        </w:rPr>
      </w:pPr>
    </w:p>
    <w:p w14:paraId="276C4FE9">
      <w:pPr>
        <w:keepNext w:val="0"/>
        <w:keepLines w:val="0"/>
        <w:pageBreakBefore w:val="0"/>
        <w:kinsoku/>
        <w:wordWrap/>
        <w:overflowPunct/>
        <w:topLinePunct w:val="0"/>
        <w:autoSpaceDE/>
        <w:autoSpaceDN/>
        <w:bidi w:val="0"/>
        <w:spacing w:line="460" w:lineRule="exact"/>
        <w:ind w:firstLine="560" w:firstLineChars="200"/>
        <w:jc w:val="righ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p>
    <w:p w14:paraId="0B9C0B2E">
      <w:pPr>
        <w:keepNext w:val="0"/>
        <w:keepLines w:val="0"/>
        <w:pageBreakBefore w:val="0"/>
        <w:kinsoku/>
        <w:wordWrap/>
        <w:overflowPunct/>
        <w:topLinePunct w:val="0"/>
        <w:autoSpaceDE/>
        <w:autoSpaceDN/>
        <w:bidi w:val="0"/>
        <w:spacing w:line="460" w:lineRule="exact"/>
        <w:ind w:firstLine="560" w:firstLineChars="200"/>
        <w:jc w:val="righ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日期：</w:t>
      </w:r>
      <w:r>
        <w:rPr>
          <w:rFonts w:hint="eastAsia" w:ascii="宋体" w:hAnsi="宋体" w:eastAsia="宋体" w:cs="宋体"/>
          <w:bCs/>
          <w:color w:val="auto"/>
          <w:sz w:val="28"/>
          <w:szCs w:val="28"/>
          <w:highlight w:val="none"/>
          <w:u w:val="single"/>
        </w:rPr>
        <w:t>______</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769AC314">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rPr>
      </w:pPr>
    </w:p>
    <w:p w14:paraId="2922608C">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rPr>
      </w:pPr>
    </w:p>
    <w:p w14:paraId="2E46EAEA">
      <w:pPr>
        <w:keepNext w:val="0"/>
        <w:keepLines w:val="0"/>
        <w:pageBreakBefore w:val="0"/>
        <w:kinsoku/>
        <w:wordWrap/>
        <w:overflowPunct/>
        <w:topLinePunct w:val="0"/>
        <w:autoSpaceDE/>
        <w:autoSpaceDN/>
        <w:bidi w:val="0"/>
        <w:snapToGrid w:val="0"/>
        <w:spacing w:line="460" w:lineRule="exact"/>
        <w:contextualSpacing/>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br w:type="page"/>
      </w:r>
      <w:r>
        <w:rPr>
          <w:rFonts w:hint="eastAsia" w:ascii="宋体" w:hAnsi="宋体" w:eastAsia="宋体" w:cs="宋体"/>
          <w:color w:val="auto"/>
          <w:kern w:val="0"/>
          <w:sz w:val="28"/>
          <w:szCs w:val="28"/>
          <w:highlight w:val="none"/>
          <w:lang w:val="zh-CN"/>
        </w:rPr>
        <w:t>附件2</w:t>
      </w:r>
    </w:p>
    <w:p w14:paraId="54418AE0">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bCs/>
          <w:color w:val="auto"/>
          <w:sz w:val="28"/>
          <w:szCs w:val="28"/>
          <w:highlight w:val="none"/>
        </w:rPr>
      </w:pPr>
    </w:p>
    <w:p w14:paraId="01EB2B90">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bCs/>
          <w:color w:val="auto"/>
          <w:sz w:val="28"/>
          <w:szCs w:val="28"/>
          <w:highlight w:val="none"/>
        </w:rPr>
      </w:pPr>
    </w:p>
    <w:p w14:paraId="56516D5E">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bCs/>
          <w:color w:val="auto"/>
          <w:sz w:val="28"/>
          <w:szCs w:val="28"/>
          <w:highlight w:val="none"/>
        </w:rPr>
      </w:pPr>
    </w:p>
    <w:p w14:paraId="5B102EBB">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法定代表人身份证明</w:t>
      </w:r>
    </w:p>
    <w:p w14:paraId="55659DED">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8"/>
          <w:szCs w:val="28"/>
          <w:highlight w:val="none"/>
        </w:rPr>
      </w:pPr>
    </w:p>
    <w:p w14:paraId="51BE50AA">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先生/女士： 现任我单位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职务，为法定代表人，特此证明。</w:t>
      </w:r>
    </w:p>
    <w:p w14:paraId="3A58D2B4">
      <w:pPr>
        <w:keepNext w:val="0"/>
        <w:keepLines w:val="0"/>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54ECC610">
      <w:pPr>
        <w:keepNext w:val="0"/>
        <w:keepLines w:val="0"/>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8"/>
          <w:szCs w:val="28"/>
          <w:highlight w:val="none"/>
        </w:rPr>
      </w:pPr>
    </w:p>
    <w:p w14:paraId="47B9B25F">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注：提供法定代表人的身份证</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正、反面</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复印件</w:t>
      </w:r>
    </w:p>
    <w:p w14:paraId="75BF2C1A">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p>
    <w:p w14:paraId="4FEC9E13">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8"/>
          <w:szCs w:val="28"/>
          <w:highlight w:val="none"/>
        </w:rPr>
      </w:pPr>
    </w:p>
    <w:p w14:paraId="45DE4D7D">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rPr>
      </w:pPr>
    </w:p>
    <w:p w14:paraId="44500CA5">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lang w:val="zh-CN"/>
        </w:rPr>
      </w:pPr>
    </w:p>
    <w:p w14:paraId="418EC396">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lang w:val="zh-CN"/>
        </w:rPr>
      </w:pPr>
    </w:p>
    <w:p w14:paraId="5630390B">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lang w:val="zh-CN"/>
        </w:rPr>
      </w:pPr>
    </w:p>
    <w:p w14:paraId="5B7BFB37">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lang w:val="zh-CN"/>
        </w:rPr>
      </w:pPr>
    </w:p>
    <w:p w14:paraId="1155474B">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lang w:val="zh-CN"/>
        </w:rPr>
      </w:pPr>
    </w:p>
    <w:p w14:paraId="5C39A772">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lang w:val="zh-CN"/>
        </w:rPr>
      </w:pPr>
    </w:p>
    <w:p w14:paraId="5EB91E44">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lang w:val="zh-CN"/>
        </w:rPr>
      </w:pPr>
    </w:p>
    <w:p w14:paraId="1E28740B">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lang w:val="zh-CN"/>
        </w:rPr>
      </w:pPr>
    </w:p>
    <w:p w14:paraId="569B778B">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lang w:val="zh-CN"/>
        </w:rPr>
      </w:pPr>
    </w:p>
    <w:p w14:paraId="4037F5C4">
      <w:pPr>
        <w:keepNext w:val="0"/>
        <w:keepLines w:val="0"/>
        <w:pageBreakBefore w:val="0"/>
        <w:kinsoku/>
        <w:wordWrap/>
        <w:overflowPunct/>
        <w:topLinePunct w:val="0"/>
        <w:autoSpaceDE/>
        <w:autoSpaceDN/>
        <w:bidi w:val="0"/>
        <w:snapToGrid w:val="0"/>
        <w:spacing w:line="460" w:lineRule="exact"/>
        <w:contextualSpacing/>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br w:type="page"/>
      </w:r>
      <w:r>
        <w:rPr>
          <w:rFonts w:hint="eastAsia" w:ascii="宋体" w:hAnsi="宋体" w:eastAsia="宋体" w:cs="宋体"/>
          <w:color w:val="auto"/>
          <w:kern w:val="0"/>
          <w:sz w:val="28"/>
          <w:szCs w:val="28"/>
          <w:highlight w:val="none"/>
          <w:lang w:val="zh-CN"/>
        </w:rPr>
        <w:t>附件3</w:t>
      </w:r>
    </w:p>
    <w:p w14:paraId="6F7676EB">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color w:val="auto"/>
          <w:sz w:val="28"/>
          <w:szCs w:val="28"/>
          <w:highlight w:val="none"/>
        </w:rPr>
      </w:pPr>
    </w:p>
    <w:p w14:paraId="0112B006">
      <w:pPr>
        <w:keepNext w:val="0"/>
        <w:keepLines w:val="0"/>
        <w:pageBreakBefore w:val="0"/>
        <w:kinsoku/>
        <w:wordWrap/>
        <w:overflowPunct/>
        <w:topLinePunct w:val="0"/>
        <w:autoSpaceDE/>
        <w:autoSpaceDN/>
        <w:bidi w:val="0"/>
        <w:spacing w:line="460" w:lineRule="exact"/>
        <w:ind w:firstLine="56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法定代表人授权委托书</w:t>
      </w:r>
    </w:p>
    <w:p w14:paraId="2AEDBC24">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p>
    <w:p w14:paraId="5730BFB5">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姓名）系————（授权单位名称）的法定代表人，现委托-------（姓名）（身份证号——————）为我方代理人，以我方名义全权处理与本次采购项目（编号：----------）有关的一切事务，其法律后果由我方承担。</w:t>
      </w:r>
    </w:p>
    <w:p w14:paraId="03E8FFFA">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本授权书于---年---月---日起生效。代理人无转委托权。</w:t>
      </w:r>
    </w:p>
    <w:p w14:paraId="327AC288">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代理人（被授权人</w:t>
      </w:r>
      <w:r>
        <w:rPr>
          <w:rFonts w:hint="eastAsia" w:ascii="宋体" w:hAnsi="宋体" w:eastAsia="宋体" w:cs="宋体"/>
          <w:color w:val="auto"/>
          <w:sz w:val="28"/>
          <w:szCs w:val="28"/>
          <w:highlight w:val="none"/>
          <w:lang w:val="en-US" w:eastAsia="zh-CN"/>
        </w:rPr>
        <w:t>签字</w:t>
      </w:r>
      <w:r>
        <w:rPr>
          <w:rFonts w:hint="eastAsia" w:ascii="宋体" w:hAnsi="宋体" w:eastAsia="宋体" w:cs="宋体"/>
          <w:color w:val="auto"/>
          <w:sz w:val="28"/>
          <w:szCs w:val="28"/>
          <w:highlight w:val="none"/>
        </w:rPr>
        <w:t>）:------</w:t>
      </w:r>
    </w:p>
    <w:p w14:paraId="29D30D17">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授权单位名称（盖章）：-----</w:t>
      </w:r>
    </w:p>
    <w:p w14:paraId="54FFABAB">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授权单位法定代表人（签字或盖章）：-----</w:t>
      </w:r>
    </w:p>
    <w:p w14:paraId="45D32BED">
      <w:pPr>
        <w:keepNext w:val="0"/>
        <w:keepLines w:val="0"/>
        <w:pageBreakBefore w:val="0"/>
        <w:kinsoku/>
        <w:wordWrap/>
        <w:overflowPunct/>
        <w:topLinePunct w:val="0"/>
        <w:autoSpaceDE/>
        <w:autoSpaceDN/>
        <w:bidi w:val="0"/>
        <w:spacing w:line="460" w:lineRule="exact"/>
        <w:ind w:firstLine="560" w:firstLineChars="200"/>
        <w:jc w:val="right"/>
        <w:textAlignment w:val="auto"/>
        <w:rPr>
          <w:rFonts w:hint="eastAsia" w:ascii="宋体" w:hAnsi="宋体" w:eastAsia="宋体" w:cs="宋体"/>
          <w:color w:val="auto"/>
          <w:sz w:val="28"/>
          <w:szCs w:val="28"/>
          <w:highlight w:val="none"/>
        </w:rPr>
      </w:pPr>
    </w:p>
    <w:p w14:paraId="6606F516">
      <w:pPr>
        <w:keepNext w:val="0"/>
        <w:keepLines w:val="0"/>
        <w:pageBreakBefore w:val="0"/>
        <w:kinsoku/>
        <w:wordWrap/>
        <w:overflowPunct/>
        <w:topLinePunct w:val="0"/>
        <w:autoSpaceDE/>
        <w:autoSpaceDN/>
        <w:bidi w:val="0"/>
        <w:spacing w:line="460" w:lineRule="exact"/>
        <w:ind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XXXX年XX月XX日</w:t>
      </w:r>
    </w:p>
    <w:p w14:paraId="11AC011F">
      <w:pPr>
        <w:keepNext w:val="0"/>
        <w:keepLines w:val="0"/>
        <w:pageBreakBefore w:val="0"/>
        <w:kinsoku/>
        <w:wordWrap/>
        <w:overflowPunct/>
        <w:topLinePunct w:val="0"/>
        <w:autoSpaceDE/>
        <w:autoSpaceDN/>
        <w:bidi w:val="0"/>
        <w:snapToGrid w:val="0"/>
        <w:spacing w:line="460" w:lineRule="exact"/>
        <w:ind w:firstLine="562" w:firstLineChars="200"/>
        <w:contextualSpacing/>
        <w:textAlignment w:val="auto"/>
        <w:rPr>
          <w:rFonts w:hint="eastAsia" w:ascii="宋体" w:hAnsi="宋体" w:eastAsia="宋体" w:cs="宋体"/>
          <w:b/>
          <w:color w:val="auto"/>
          <w:kern w:val="0"/>
          <w:sz w:val="28"/>
          <w:szCs w:val="28"/>
          <w:highlight w:val="none"/>
        </w:rPr>
      </w:pPr>
    </w:p>
    <w:p w14:paraId="0C988837">
      <w:pPr>
        <w:keepNext w:val="0"/>
        <w:keepLines w:val="0"/>
        <w:pageBreakBefore w:val="0"/>
        <w:kinsoku/>
        <w:wordWrap/>
        <w:overflowPunct/>
        <w:topLinePunct w:val="0"/>
        <w:autoSpaceDE/>
        <w:autoSpaceDN/>
        <w:bidi w:val="0"/>
        <w:snapToGrid w:val="0"/>
        <w:spacing w:line="460" w:lineRule="exact"/>
        <w:ind w:firstLine="562" w:firstLineChars="200"/>
        <w:contextualSpacing/>
        <w:textAlignment w:val="auto"/>
        <w:rPr>
          <w:rFonts w:hint="eastAsia" w:ascii="宋体" w:hAnsi="宋体" w:eastAsia="宋体" w:cs="宋体"/>
          <w:b/>
          <w:color w:val="auto"/>
          <w:kern w:val="0"/>
          <w:sz w:val="28"/>
          <w:szCs w:val="28"/>
          <w:highlight w:val="none"/>
        </w:rPr>
        <w:sectPr>
          <w:headerReference r:id="rId3" w:type="default"/>
          <w:footerReference r:id="rId4" w:type="default"/>
          <w:footnotePr>
            <w:numStart w:val="0"/>
          </w:footnotePr>
          <w:endnotePr>
            <w:numFmt w:val="decimal"/>
            <w:numStart w:val="0"/>
          </w:endnotePr>
          <w:pgSz w:w="11850" w:h="16783"/>
          <w:pgMar w:top="1440" w:right="1800" w:bottom="1440" w:left="1800" w:header="0" w:footer="0" w:gutter="0"/>
          <w:pgNumType w:fmt="decimal" w:start="1"/>
          <w:cols w:space="720" w:num="1"/>
        </w:sectPr>
      </w:pPr>
      <w:r>
        <w:rPr>
          <w:rFonts w:hint="eastAsia" w:ascii="宋体" w:hAnsi="宋体" w:eastAsia="宋体" w:cs="宋体"/>
          <w:b/>
          <w:color w:val="auto"/>
          <w:kern w:val="0"/>
          <w:sz w:val="28"/>
          <w:szCs w:val="28"/>
          <w:highlight w:val="none"/>
        </w:rPr>
        <w:t>注：提供投标代表本人身份证</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正、反面</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kern w:val="0"/>
          <w:sz w:val="28"/>
          <w:szCs w:val="28"/>
          <w:highlight w:val="none"/>
        </w:rPr>
        <w:t>复印件</w:t>
      </w:r>
    </w:p>
    <w:p w14:paraId="0D12E370">
      <w:pPr>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val="zh-CN"/>
        </w:rPr>
        <w:t>附件</w:t>
      </w:r>
      <w:r>
        <w:rPr>
          <w:rFonts w:hint="eastAsia" w:ascii="宋体" w:hAnsi="宋体" w:eastAsia="宋体" w:cs="宋体"/>
          <w:color w:val="auto"/>
          <w:sz w:val="32"/>
          <w:szCs w:val="32"/>
          <w:highlight w:val="none"/>
          <w:lang w:val="en-US" w:eastAsia="zh-CN"/>
        </w:rPr>
        <w:t>4</w:t>
      </w:r>
    </w:p>
    <w:p w14:paraId="1D97672A">
      <w:pPr>
        <w:keepNext w:val="0"/>
        <w:keepLines w:val="0"/>
        <w:pageBreakBefore w:val="0"/>
        <w:widowControl/>
        <w:kinsoku/>
        <w:wordWrap/>
        <w:overflowPunct/>
        <w:topLinePunct w:val="0"/>
        <w:autoSpaceDE/>
        <w:autoSpaceDN/>
        <w:bidi w:val="0"/>
        <w:spacing w:before="100" w:beforeAutospacing="1" w:after="100" w:afterAutospacing="1" w:line="46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报价总表</w:t>
      </w:r>
    </w:p>
    <w:p w14:paraId="5EC97D26">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投标人全称（加盖公章）</w:t>
      </w:r>
      <w:r>
        <w:rPr>
          <w:rFonts w:hint="eastAsia" w:ascii="宋体" w:hAnsi="宋体" w:eastAsia="宋体" w:cs="宋体"/>
          <w:color w:val="auto"/>
          <w:kern w:val="0"/>
          <w:sz w:val="28"/>
          <w:szCs w:val="28"/>
          <w:highlight w:val="none"/>
          <w:lang w:eastAsia="zh-CN"/>
        </w:rPr>
        <w:t>：</w:t>
      </w:r>
    </w:p>
    <w:tbl>
      <w:tblPr>
        <w:tblStyle w:val="3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2873"/>
        <w:gridCol w:w="2873"/>
      </w:tblGrid>
      <w:tr w14:paraId="3278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30" w:type="pct"/>
          </w:tcPr>
          <w:p w14:paraId="61A0DB81">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项目名称</w:t>
            </w:r>
          </w:p>
        </w:tc>
        <w:tc>
          <w:tcPr>
            <w:tcW w:w="1684" w:type="pct"/>
          </w:tcPr>
          <w:p w14:paraId="6B0669EC">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kern w:val="0"/>
                <w:sz w:val="28"/>
                <w:szCs w:val="28"/>
                <w:highlight w:val="none"/>
              </w:rPr>
              <w:t>投标</w:t>
            </w:r>
            <w:r>
              <w:rPr>
                <w:rFonts w:hint="eastAsia" w:ascii="宋体" w:hAnsi="宋体" w:eastAsia="宋体" w:cs="宋体"/>
                <w:color w:val="auto"/>
                <w:kern w:val="0"/>
                <w:sz w:val="28"/>
                <w:szCs w:val="28"/>
                <w:highlight w:val="none"/>
                <w:lang w:val="en-US" w:eastAsia="zh-CN"/>
              </w:rPr>
              <w:t>总</w:t>
            </w:r>
            <w:r>
              <w:rPr>
                <w:rFonts w:hint="eastAsia" w:ascii="宋体" w:hAnsi="宋体" w:eastAsia="宋体" w:cs="宋体"/>
                <w:color w:val="auto"/>
                <w:kern w:val="0"/>
                <w:sz w:val="28"/>
                <w:szCs w:val="28"/>
                <w:highlight w:val="none"/>
              </w:rPr>
              <w:t>报价</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元</w:t>
            </w:r>
            <w:r>
              <w:rPr>
                <w:rFonts w:hint="eastAsia" w:ascii="宋体" w:hAnsi="宋体" w:eastAsia="宋体" w:cs="宋体"/>
                <w:color w:val="auto"/>
                <w:kern w:val="0"/>
                <w:sz w:val="28"/>
                <w:szCs w:val="28"/>
                <w:highlight w:val="none"/>
                <w:lang w:eastAsia="zh-CN"/>
              </w:rPr>
              <w:t>）</w:t>
            </w:r>
          </w:p>
        </w:tc>
        <w:tc>
          <w:tcPr>
            <w:tcW w:w="1684" w:type="pct"/>
          </w:tcPr>
          <w:p w14:paraId="2AF0EB39">
            <w:pPr>
              <w:keepNext w:val="0"/>
              <w:keepLines w:val="0"/>
              <w:pageBreakBefore w:val="0"/>
              <w:kinsoku/>
              <w:wordWrap/>
              <w:overflowPunct/>
              <w:topLinePunct w:val="0"/>
              <w:autoSpaceDE/>
              <w:autoSpaceDN/>
              <w:bidi w:val="0"/>
              <w:spacing w:line="460" w:lineRule="exact"/>
              <w:jc w:val="center"/>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供货期</w:t>
            </w:r>
          </w:p>
        </w:tc>
      </w:tr>
      <w:tr w14:paraId="3A9F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630" w:type="pct"/>
          </w:tcPr>
          <w:p w14:paraId="411663B7">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sz w:val="28"/>
                <w:szCs w:val="28"/>
                <w:highlight w:val="none"/>
              </w:rPr>
            </w:pPr>
          </w:p>
        </w:tc>
        <w:tc>
          <w:tcPr>
            <w:tcW w:w="1684" w:type="pct"/>
            <w:vAlign w:val="center"/>
          </w:tcPr>
          <w:p w14:paraId="61337CF6">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大写：</w:t>
            </w:r>
          </w:p>
          <w:p w14:paraId="6A0A4DC0">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none"/>
              </w:rPr>
              <w:t xml:space="preserve">小写：       </w:t>
            </w:r>
          </w:p>
        </w:tc>
        <w:tc>
          <w:tcPr>
            <w:tcW w:w="1684" w:type="pct"/>
            <w:vAlign w:val="center"/>
          </w:tcPr>
          <w:p w14:paraId="1D3A6053">
            <w:pPr>
              <w:keepNext w:val="0"/>
              <w:keepLines w:val="0"/>
              <w:pageBreakBefore w:val="0"/>
              <w:kinsoku/>
              <w:wordWrap/>
              <w:overflowPunct/>
              <w:topLinePunct w:val="0"/>
              <w:autoSpaceDE/>
              <w:autoSpaceDN/>
              <w:bidi w:val="0"/>
              <w:spacing w:line="460" w:lineRule="exact"/>
              <w:textAlignment w:val="auto"/>
              <w:rPr>
                <w:rFonts w:hint="default"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完全响应招标文件</w:t>
            </w:r>
          </w:p>
        </w:tc>
      </w:tr>
    </w:tbl>
    <w:p w14:paraId="396ADF25">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14:paraId="5CB7EDBA">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填写说明：</w:t>
      </w:r>
    </w:p>
    <w:p w14:paraId="07028DF0">
      <w:pPr>
        <w:keepNext w:val="0"/>
        <w:keepLines w:val="0"/>
        <w:pageBreakBefore w:val="0"/>
        <w:numPr>
          <w:ilvl w:val="0"/>
          <w:numId w:val="4"/>
        </w:numPr>
        <w:kinsoku/>
        <w:wordWrap/>
        <w:overflowPunct/>
        <w:topLinePunct w:val="0"/>
        <w:autoSpaceDE/>
        <w:autoSpaceDN/>
        <w:bidi w:val="0"/>
        <w:spacing w:line="46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报价总表必须加盖供应商公章（复印件无效）</w:t>
      </w:r>
      <w:r>
        <w:rPr>
          <w:rFonts w:hint="eastAsia" w:ascii="宋体" w:hAnsi="宋体" w:eastAsia="宋体" w:cs="宋体"/>
          <w:color w:val="auto"/>
          <w:kern w:val="0"/>
          <w:sz w:val="28"/>
          <w:szCs w:val="28"/>
          <w:highlight w:val="none"/>
          <w:lang w:eastAsia="zh-CN"/>
        </w:rPr>
        <w:t>；</w:t>
      </w:r>
    </w:p>
    <w:p w14:paraId="01516A03">
      <w:pPr>
        <w:keepNext w:val="0"/>
        <w:keepLines w:val="0"/>
        <w:pageBreakBefore w:val="0"/>
        <w:numPr>
          <w:ilvl w:val="0"/>
          <w:numId w:val="4"/>
        </w:numPr>
        <w:kinsoku/>
        <w:wordWrap/>
        <w:overflowPunct/>
        <w:topLinePunct w:val="0"/>
        <w:autoSpaceDE/>
        <w:autoSpaceDN/>
        <w:bidi w:val="0"/>
        <w:spacing w:line="46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本项目投标报价为固定总价进行报价。供应商报价应包含所投项目委托服务任务完成所需抽检的采样费、检测费、人员工资、社保、配套设备、技术服务费、管理、验收、安全保护、培训、售后、保险、税金、利润等一切与该项目相关的所有费用和政策性文件规定及合同包含的所有风险、责任等各项应有费用。即包含响应磋商文件采购要求和为完成本项目服务所发生的全部费用。本投标报价也不随国家政策或法规、标准及市场因素的变化而进行调整。</w:t>
      </w:r>
    </w:p>
    <w:p w14:paraId="7E22C26F">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rPr>
      </w:pPr>
    </w:p>
    <w:p w14:paraId="53E89DAB">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rPr>
      </w:pPr>
    </w:p>
    <w:p w14:paraId="37D4615F">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rPr>
      </w:pPr>
    </w:p>
    <w:p w14:paraId="2F098841">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rPr>
      </w:pPr>
    </w:p>
    <w:p w14:paraId="7F417C89">
      <w:pPr>
        <w:keepNext w:val="0"/>
        <w:keepLines w:val="0"/>
        <w:pageBreakBefore w:val="0"/>
        <w:kinsoku/>
        <w:wordWrap/>
        <w:overflowPunct/>
        <w:topLinePunct w:val="0"/>
        <w:autoSpaceDE/>
        <w:autoSpaceDN/>
        <w:bidi w:val="0"/>
        <w:snapToGrid w:val="0"/>
        <w:spacing w:line="460" w:lineRule="exact"/>
        <w:ind w:firstLine="540" w:firstLineChars="192"/>
        <w:contextualSpacing/>
        <w:textAlignment w:val="auto"/>
        <w:rPr>
          <w:rFonts w:hint="eastAsia" w:ascii="宋体" w:hAnsi="宋体" w:eastAsia="宋体" w:cs="宋体"/>
          <w:b/>
          <w:color w:val="auto"/>
          <w:kern w:val="0"/>
          <w:sz w:val="28"/>
          <w:szCs w:val="28"/>
          <w:highlight w:val="none"/>
        </w:rPr>
      </w:pPr>
    </w:p>
    <w:p w14:paraId="4AFC759C">
      <w:pPr>
        <w:keepNext w:val="0"/>
        <w:keepLines w:val="0"/>
        <w:pageBreakBefore w:val="0"/>
        <w:kinsoku/>
        <w:wordWrap/>
        <w:overflowPunct/>
        <w:topLinePunct w:val="0"/>
        <w:autoSpaceDE/>
        <w:autoSpaceDN/>
        <w:bidi w:val="0"/>
        <w:snapToGrid w:val="0"/>
        <w:spacing w:line="460" w:lineRule="exact"/>
        <w:jc w:val="left"/>
        <w:textAlignment w:val="auto"/>
        <w:rPr>
          <w:rFonts w:hint="eastAsia" w:ascii="宋体" w:hAnsi="宋体" w:eastAsia="宋体" w:cs="宋体"/>
          <w:color w:val="auto"/>
          <w:sz w:val="28"/>
          <w:szCs w:val="28"/>
          <w:highlight w:val="none"/>
        </w:rPr>
        <w:sectPr>
          <w:headerReference r:id="rId5" w:type="default"/>
          <w:footerReference r:id="rId6" w:type="default"/>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color w:val="auto"/>
          <w:sz w:val="28"/>
          <w:szCs w:val="28"/>
          <w:highlight w:val="none"/>
        </w:rPr>
        <w:br w:type="page"/>
      </w:r>
    </w:p>
    <w:p w14:paraId="6E425085">
      <w:pPr>
        <w:snapToGrid w:val="0"/>
        <w:spacing w:line="360" w:lineRule="auto"/>
        <w:jc w:val="left"/>
        <w:rPr>
          <w:rFonts w:hint="eastAsia" w:ascii="宋体" w:hAnsi="宋体" w:eastAsia="宋体" w:cs="宋体"/>
          <w:b/>
          <w:color w:val="auto"/>
          <w:sz w:val="28"/>
          <w:szCs w:val="28"/>
          <w:highlight w:val="none"/>
          <w:lang w:val="en-US" w:eastAsia="zh-CN" w:bidi="ar"/>
        </w:rPr>
      </w:pPr>
      <w:r>
        <w:rPr>
          <w:rFonts w:hint="eastAsia" w:ascii="宋体" w:hAnsi="宋体" w:eastAsia="宋体" w:cs="宋体"/>
          <w:color w:val="auto"/>
          <w:kern w:val="0"/>
          <w:sz w:val="32"/>
          <w:szCs w:val="32"/>
          <w:highlight w:val="none"/>
        </w:rPr>
        <w:t>附件</w:t>
      </w:r>
      <w:r>
        <w:rPr>
          <w:rFonts w:hint="eastAsia" w:ascii="宋体" w:hAnsi="宋体" w:cs="宋体"/>
          <w:color w:val="auto"/>
          <w:kern w:val="0"/>
          <w:sz w:val="32"/>
          <w:szCs w:val="32"/>
          <w:highlight w:val="none"/>
          <w:lang w:val="en-US" w:eastAsia="zh-CN"/>
        </w:rPr>
        <w:t>5</w:t>
      </w:r>
    </w:p>
    <w:p w14:paraId="65F23C8B">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投标人信用承诺书</w:t>
      </w:r>
    </w:p>
    <w:p w14:paraId="01D4E8B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0"/>
          <w:sz w:val="28"/>
          <w:szCs w:val="28"/>
          <w:highlight w:val="none"/>
          <w:lang w:val="zh-CN" w:bidi="ar"/>
        </w:rPr>
      </w:pPr>
      <w:r>
        <w:rPr>
          <w:rFonts w:hint="eastAsia" w:ascii="宋体" w:hAnsi="宋体" w:eastAsia="宋体" w:cs="宋体"/>
          <w:color w:val="auto"/>
          <w:kern w:val="0"/>
          <w:sz w:val="28"/>
          <w:szCs w:val="28"/>
          <w:highlight w:val="none"/>
          <w:lang w:val="en-US" w:eastAsia="zh-CN" w:bidi="ar"/>
        </w:rPr>
        <w:t>为营造公开、公平、公正的招标采购交易环境，树立诚信守法的投标人形象，本人代表本单位作出以下承诺：</w:t>
      </w:r>
    </w:p>
    <w:p w14:paraId="6C57B50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0"/>
          <w:sz w:val="28"/>
          <w:szCs w:val="28"/>
          <w:highlight w:val="none"/>
          <w:lang w:val="zh-CN" w:bidi="ar"/>
        </w:rPr>
      </w:pPr>
      <w:r>
        <w:rPr>
          <w:rFonts w:hint="eastAsia" w:ascii="宋体" w:hAnsi="宋体" w:eastAsia="宋体" w:cs="宋体"/>
          <w:color w:val="auto"/>
          <w:kern w:val="0"/>
          <w:sz w:val="28"/>
          <w:szCs w:val="28"/>
          <w:highlight w:val="none"/>
          <w:lang w:val="en-US" w:eastAsia="zh-CN" w:bidi="ar"/>
        </w:rPr>
        <w:t>一、本单位对所提交的单位基本信息、法定代表人、项目负责人、技术负责人、从业资质和资格、业绩、财务状况、信誉等所有资料，均合法、真实、准确、有效，无任何伪造、修改、虚假成分。</w:t>
      </w:r>
    </w:p>
    <w:p w14:paraId="0C4EEE4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0"/>
          <w:sz w:val="28"/>
          <w:szCs w:val="28"/>
          <w:highlight w:val="none"/>
          <w:lang w:val="zh-CN" w:bidi="ar"/>
        </w:rPr>
      </w:pPr>
      <w:r>
        <w:rPr>
          <w:rFonts w:hint="eastAsia" w:ascii="宋体" w:hAnsi="宋体" w:eastAsia="宋体" w:cs="宋体"/>
          <w:color w:val="auto"/>
          <w:kern w:val="0"/>
          <w:sz w:val="28"/>
          <w:szCs w:val="28"/>
          <w:highlight w:val="none"/>
          <w:lang w:val="en-US" w:eastAsia="zh-CN" w:bidi="ar"/>
        </w:rPr>
        <w:t>二、严格依照国家、省、市关于政府采购及</w:t>
      </w:r>
      <w:r>
        <w:rPr>
          <w:rFonts w:hint="eastAsia" w:ascii="宋体" w:hAnsi="宋体" w:cs="宋体"/>
          <w:color w:val="auto"/>
          <w:kern w:val="0"/>
          <w:sz w:val="28"/>
          <w:szCs w:val="28"/>
          <w:highlight w:val="none"/>
          <w:lang w:val="en-US" w:eastAsia="zh-CN" w:bidi="ar"/>
        </w:rPr>
        <w:t>招标人</w:t>
      </w:r>
      <w:r>
        <w:rPr>
          <w:rFonts w:hint="eastAsia" w:ascii="宋体" w:hAnsi="宋体" w:eastAsia="宋体" w:cs="宋体"/>
          <w:color w:val="auto"/>
          <w:kern w:val="0"/>
          <w:sz w:val="28"/>
          <w:szCs w:val="28"/>
          <w:highlight w:val="none"/>
          <w:lang w:val="en-US" w:eastAsia="zh-CN" w:bidi="ar"/>
        </w:rPr>
        <w:t>自行采购相关法律法规、规章、规范性文件，依法参与本次采购投标活动，恪守职业道德，促进廉洁采购。</w:t>
      </w:r>
    </w:p>
    <w:p w14:paraId="1701155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0"/>
          <w:sz w:val="28"/>
          <w:szCs w:val="28"/>
          <w:highlight w:val="none"/>
          <w:lang w:val="zh-CN" w:bidi="ar"/>
        </w:rPr>
      </w:pPr>
      <w:r>
        <w:rPr>
          <w:rFonts w:hint="eastAsia" w:ascii="宋体" w:hAnsi="宋体" w:eastAsia="宋体" w:cs="宋体"/>
          <w:color w:val="auto"/>
          <w:kern w:val="0"/>
          <w:sz w:val="28"/>
          <w:szCs w:val="28"/>
          <w:highlight w:val="none"/>
          <w:lang w:val="en-US" w:eastAsia="zh-CN" w:bidi="ar"/>
        </w:rPr>
        <w:t>三、自我约束、自我管理，守合同、重信用，不参与围标串标、弄虚作假、骗取中标、干扰评标、违约毁约、恶意质疑投诉等行为，自觉维护本次采购活动的良好秩序。</w:t>
      </w:r>
    </w:p>
    <w:p w14:paraId="4F55C93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0"/>
          <w:sz w:val="28"/>
          <w:szCs w:val="28"/>
          <w:highlight w:val="none"/>
          <w:lang w:val="zh-CN" w:bidi="ar"/>
        </w:rPr>
      </w:pPr>
      <w:r>
        <w:rPr>
          <w:rFonts w:hint="eastAsia" w:ascii="宋体" w:hAnsi="宋体" w:eastAsia="宋体" w:cs="宋体"/>
          <w:color w:val="auto"/>
          <w:kern w:val="0"/>
          <w:sz w:val="28"/>
          <w:szCs w:val="28"/>
          <w:highlight w:val="none"/>
          <w:lang w:val="en-US" w:eastAsia="zh-CN" w:bidi="ar"/>
        </w:rPr>
        <w:t>四、本单位自愿接受</w:t>
      </w:r>
      <w:r>
        <w:rPr>
          <w:rFonts w:hint="eastAsia" w:ascii="宋体" w:hAnsi="宋体" w:cs="宋体"/>
          <w:color w:val="auto"/>
          <w:kern w:val="0"/>
          <w:sz w:val="28"/>
          <w:szCs w:val="28"/>
          <w:highlight w:val="none"/>
          <w:lang w:val="en-US" w:eastAsia="zh-CN" w:bidi="ar"/>
        </w:rPr>
        <w:t>招标人</w:t>
      </w:r>
      <w:r>
        <w:rPr>
          <w:rFonts w:hint="eastAsia" w:ascii="宋体" w:hAnsi="宋体" w:eastAsia="宋体" w:cs="宋体"/>
          <w:color w:val="auto"/>
          <w:kern w:val="0"/>
          <w:sz w:val="28"/>
          <w:szCs w:val="28"/>
          <w:highlight w:val="none"/>
          <w:lang w:val="en-US" w:eastAsia="zh-CN" w:bidi="ar"/>
        </w:rPr>
        <w:t>、采购代理机构及</w:t>
      </w:r>
      <w:r>
        <w:rPr>
          <w:rFonts w:hint="eastAsia" w:ascii="宋体" w:hAnsi="宋体" w:cs="宋体"/>
          <w:color w:val="auto"/>
          <w:kern w:val="0"/>
          <w:sz w:val="28"/>
          <w:szCs w:val="28"/>
          <w:highlight w:val="none"/>
          <w:lang w:val="en-US" w:eastAsia="zh-CN" w:bidi="ar"/>
        </w:rPr>
        <w:t>招标人</w:t>
      </w:r>
      <w:r>
        <w:rPr>
          <w:rFonts w:hint="eastAsia" w:ascii="宋体" w:hAnsi="宋体" w:eastAsia="宋体" w:cs="宋体"/>
          <w:color w:val="auto"/>
          <w:kern w:val="0"/>
          <w:sz w:val="28"/>
          <w:szCs w:val="28"/>
          <w:highlight w:val="none"/>
          <w:lang w:val="en-US" w:eastAsia="zh-CN" w:bidi="ar"/>
        </w:rPr>
        <w:t>纪检监察部门的依法监督检查。如发生违法违规或失信行为，自愿接受相应处理，并依法承担全部法律责任。</w:t>
      </w:r>
    </w:p>
    <w:p w14:paraId="2EC8BE1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0"/>
          <w:sz w:val="28"/>
          <w:szCs w:val="28"/>
          <w:highlight w:val="none"/>
          <w:lang w:val="zh-CN" w:bidi="ar"/>
        </w:rPr>
      </w:pPr>
      <w:r>
        <w:rPr>
          <w:rFonts w:hint="eastAsia" w:ascii="宋体" w:hAnsi="宋体" w:eastAsia="宋体" w:cs="宋体"/>
          <w:color w:val="auto"/>
          <w:kern w:val="0"/>
          <w:sz w:val="28"/>
          <w:szCs w:val="28"/>
          <w:highlight w:val="none"/>
          <w:lang w:val="en-US" w:eastAsia="zh-CN" w:bidi="ar"/>
        </w:rPr>
        <w:t>五、自觉保护采购相关信息安全，严格履行保密义务，不泄露招标文件、投标文件及评审过程中的非公开信息。</w:t>
      </w:r>
    </w:p>
    <w:p w14:paraId="3537B2D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0"/>
          <w:sz w:val="28"/>
          <w:szCs w:val="28"/>
          <w:highlight w:val="none"/>
          <w:lang w:val="zh-CN" w:bidi="ar"/>
        </w:rPr>
      </w:pPr>
      <w:r>
        <w:rPr>
          <w:rFonts w:hint="eastAsia" w:ascii="宋体" w:hAnsi="宋体" w:eastAsia="宋体" w:cs="宋体"/>
          <w:color w:val="auto"/>
          <w:kern w:val="0"/>
          <w:sz w:val="28"/>
          <w:szCs w:val="28"/>
          <w:highlight w:val="none"/>
          <w:lang w:val="en-US" w:eastAsia="zh-CN" w:bidi="ar"/>
        </w:rPr>
        <w:t>六、上述承诺已在本单位内部告知全体参与人员，承诺内容真实有效，愿接受社会监督。</w:t>
      </w:r>
    </w:p>
    <w:p w14:paraId="14A06002">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bCs/>
          <w:color w:val="auto"/>
          <w:kern w:val="0"/>
          <w:sz w:val="28"/>
          <w:szCs w:val="28"/>
          <w:highlight w:val="none"/>
          <w:lang w:val="zh-CN" w:bidi="ar"/>
        </w:rPr>
      </w:pPr>
      <w:r>
        <w:rPr>
          <w:rFonts w:hint="eastAsia" w:ascii="宋体" w:hAnsi="宋体" w:eastAsia="宋体" w:cs="宋体"/>
          <w:b/>
          <w:bCs/>
          <w:color w:val="auto"/>
          <w:kern w:val="0"/>
          <w:sz w:val="28"/>
          <w:szCs w:val="28"/>
          <w:highlight w:val="none"/>
          <w:lang w:val="en-US" w:eastAsia="zh-CN" w:bidi="ar"/>
        </w:rPr>
        <w:t>如有违反上述承诺的行为，本单位自愿承担相应责任，同意</w:t>
      </w:r>
      <w:r>
        <w:rPr>
          <w:rFonts w:hint="eastAsia" w:ascii="宋体" w:hAnsi="宋体" w:cs="宋体"/>
          <w:b/>
          <w:bCs/>
          <w:color w:val="auto"/>
          <w:kern w:val="0"/>
          <w:sz w:val="28"/>
          <w:szCs w:val="28"/>
          <w:highlight w:val="none"/>
          <w:lang w:val="en-US" w:eastAsia="zh-CN" w:bidi="ar"/>
        </w:rPr>
        <w:t>招标人</w:t>
      </w:r>
      <w:r>
        <w:rPr>
          <w:rFonts w:hint="eastAsia" w:ascii="宋体" w:hAnsi="宋体" w:eastAsia="宋体" w:cs="宋体"/>
          <w:b/>
          <w:bCs/>
          <w:color w:val="auto"/>
          <w:kern w:val="0"/>
          <w:sz w:val="28"/>
          <w:szCs w:val="28"/>
          <w:highlight w:val="none"/>
          <w:lang w:val="en-US" w:eastAsia="zh-CN" w:bidi="ar"/>
        </w:rPr>
        <w:t>按规定取消投标/中标资格、列入</w:t>
      </w:r>
      <w:r>
        <w:rPr>
          <w:rFonts w:hint="eastAsia" w:ascii="宋体" w:hAnsi="宋体" w:cs="宋体"/>
          <w:b/>
          <w:bCs/>
          <w:color w:val="auto"/>
          <w:kern w:val="0"/>
          <w:sz w:val="28"/>
          <w:szCs w:val="28"/>
          <w:highlight w:val="none"/>
          <w:lang w:val="en-US" w:eastAsia="zh-CN" w:bidi="ar"/>
        </w:rPr>
        <w:t>招标人</w:t>
      </w:r>
      <w:r>
        <w:rPr>
          <w:rFonts w:hint="eastAsia" w:ascii="宋体" w:hAnsi="宋体" w:eastAsia="宋体" w:cs="宋体"/>
          <w:b/>
          <w:bCs/>
          <w:color w:val="auto"/>
          <w:kern w:val="0"/>
          <w:sz w:val="28"/>
          <w:szCs w:val="28"/>
          <w:highlight w:val="none"/>
          <w:lang w:val="en-US" w:eastAsia="zh-CN" w:bidi="ar"/>
        </w:rPr>
        <w:t>采购失信名单，并依法追究法律责任。</w:t>
      </w:r>
    </w:p>
    <w:p w14:paraId="00DCEAE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0"/>
          <w:sz w:val="28"/>
          <w:szCs w:val="28"/>
          <w:highlight w:val="none"/>
          <w:lang w:val="en-US" w:eastAsia="zh-CN" w:bidi="ar"/>
        </w:rPr>
      </w:pPr>
    </w:p>
    <w:p w14:paraId="0EC6445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投标人全称（盖公章）：</w:t>
      </w:r>
    </w:p>
    <w:p w14:paraId="53EF68F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宋体" w:hAnsi="宋体" w:eastAsia="宋体" w:cs="宋体"/>
          <w:color w:val="auto"/>
          <w:kern w:val="0"/>
          <w:sz w:val="28"/>
          <w:szCs w:val="28"/>
          <w:highlight w:val="none"/>
          <w:lang w:val="en-US" w:eastAsia="zh-CN" w:bidi="ar"/>
        </w:rPr>
      </w:pPr>
    </w:p>
    <w:p w14:paraId="10FC7B4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法定代表人或授权委托人（签字或盖章）：</w:t>
      </w:r>
    </w:p>
    <w:p w14:paraId="3BC53592">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宋体" w:hAnsi="宋体" w:eastAsia="宋体" w:cs="宋体"/>
          <w:color w:val="auto"/>
          <w:kern w:val="0"/>
          <w:sz w:val="28"/>
          <w:szCs w:val="28"/>
          <w:highlight w:val="none"/>
          <w:lang w:val="en-US" w:eastAsia="zh-CN" w:bidi="ar"/>
        </w:rPr>
      </w:pPr>
    </w:p>
    <w:p w14:paraId="6CA5B21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时间： 年 月 日</w:t>
      </w:r>
    </w:p>
    <w:p w14:paraId="02420B5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cs="宋体"/>
          <w:color w:val="auto"/>
          <w:sz w:val="28"/>
          <w:szCs w:val="28"/>
          <w:highlight w:val="none"/>
          <w:lang w:val="en-US" w:eastAsia="zh-CN"/>
        </w:rPr>
        <w:t>6</w:t>
      </w:r>
    </w:p>
    <w:p w14:paraId="098C2E3D">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质疑函范本</w:t>
      </w:r>
    </w:p>
    <w:p w14:paraId="724F1121">
      <w:pPr>
        <w:keepNext w:val="0"/>
        <w:keepLines w:val="0"/>
        <w:pageBreakBefore w:val="0"/>
        <w:kinsoku/>
        <w:wordWrap/>
        <w:overflowPunct/>
        <w:topLinePunct w:val="0"/>
        <w:autoSpaceDE/>
        <w:autoSpaceDN/>
        <w:bidi w:val="0"/>
        <w:adjustRightInd w:val="0"/>
        <w:snapToGrid w:val="0"/>
        <w:spacing w:before="312" w:beforeLines="100" w:line="46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4088CDEA">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708BC921">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3E1EFCC9">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29616CEA">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648719EC">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581D850C">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6FDB98EB">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6629646B">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1E4211D6">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7828672C">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招标人名称：</w:t>
      </w:r>
    </w:p>
    <w:p w14:paraId="02991BC6">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2C529C08">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34D5CC99">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6E420285">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41310D0D">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rPr>
      </w:pPr>
    </w:p>
    <w:p w14:paraId="7F7FAB25">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06A0841A">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u w:val="dotted"/>
        </w:rPr>
      </w:pPr>
    </w:p>
    <w:p w14:paraId="49D196F6">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12367FC5">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366FD236">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0745BEB5">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3F3BC2B7">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7E4D25C2">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6026942A">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8"/>
          <w:szCs w:val="28"/>
          <w:highlight w:val="none"/>
        </w:rPr>
      </w:pPr>
    </w:p>
    <w:p w14:paraId="0847A624">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color w:val="auto"/>
          <w:sz w:val="28"/>
          <w:szCs w:val="28"/>
          <w:highlight w:val="none"/>
        </w:rPr>
      </w:pPr>
    </w:p>
    <w:p w14:paraId="2AB808E2">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color w:val="auto"/>
          <w:sz w:val="28"/>
          <w:szCs w:val="28"/>
          <w:highlight w:val="none"/>
        </w:rPr>
      </w:pPr>
    </w:p>
    <w:p w14:paraId="6F89A195">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659389F8">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6B74F863">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69773EB9">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65C1DABD">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62A82CB5">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7BF147CE">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1AFFB62D">
      <w:pPr>
        <w:widowControl/>
        <w:ind w:firstLine="560" w:firstLineChars="200"/>
        <w:jc w:val="left"/>
        <w:rPr>
          <w:rFonts w:hint="eastAsia" w:ascii="宋体" w:hAnsi="宋体" w:eastAsia="宋体" w:cs="宋体"/>
          <w:color w:val="auto"/>
          <w:sz w:val="28"/>
          <w:szCs w:val="28"/>
          <w:highlight w:val="none"/>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6325946-579A-496C-9DCC-7FE67FABAABA}"/>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2" w:fontKey="{AE94E130-09A5-4526-A2FB-887279F83A0D}"/>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C184">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8B0E5">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D8B0E5">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68F9">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098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0980" cy="131445"/>
                      </a:xfrm>
                      <a:prstGeom prst="rect">
                        <a:avLst/>
                      </a:prstGeom>
                      <a:noFill/>
                      <a:ln>
                        <a:noFill/>
                      </a:ln>
                    </wps:spPr>
                    <wps:txbx>
                      <w:txbxContent>
                        <w:p w14:paraId="7EB3CC06">
                          <w:pPr>
                            <w:pStyle w:val="25"/>
                          </w:pPr>
                          <w:r>
                            <w:fldChar w:fldCharType="begin"/>
                          </w:r>
                          <w:r>
                            <w:instrText xml:space="preserve"> PAGE  \* MERGEFORMAT </w:instrText>
                          </w:r>
                          <w:r>
                            <w:fldChar w:fldCharType="separate"/>
                          </w:r>
                          <w:r>
                            <w:t>37</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0.35pt;width:17.4pt;mso-position-horizontal:center;mso-position-horizontal-relative:margin;z-index:251659264;mso-width-relative:page;mso-height-relative:page;" filled="f" stroked="f" coordsize="21600,21600" o:gfxdata="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0FxZNIAAAADAQAADwAAAAAAAAABACAAAAAiAAAAZHJzL2Rvd25yZXYu&#10;eG1sUEsBAhQAFAAAAAgAh07iQNXPUYrIAQAAjQMAAA4AAAAAAAAAAQAgAAAAIQEAAGRycy9lMm9E&#10;b2MueG1sUEsFBgAAAAAGAAYAWQEAAFsFAAAAAA==&#10;">
              <v:fill on="f" focussize="0,0"/>
              <v:stroke on="f"/>
              <v:imagedata o:title=""/>
              <o:lock v:ext="edit" aspectratio="f"/>
              <v:textbox inset="0mm,0mm,0mm,0mm" style="mso-fit-shape-to-text:t;">
                <w:txbxContent>
                  <w:p w14:paraId="7EB3CC06">
                    <w:pPr>
                      <w:pStyle w:val="2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D6B87">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ADD16">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BA394"/>
    <w:multiLevelType w:val="singleLevel"/>
    <w:tmpl w:val="D04BA394"/>
    <w:lvl w:ilvl="0" w:tentative="0">
      <w:start w:val="1"/>
      <w:numFmt w:val="decimal"/>
      <w:lvlText w:val="%1."/>
      <w:lvlJc w:val="left"/>
      <w:pPr>
        <w:tabs>
          <w:tab w:val="left" w:pos="312"/>
        </w:tabs>
      </w:pPr>
    </w:lvl>
  </w:abstractNum>
  <w:abstractNum w:abstractNumId="1">
    <w:nsid w:val="03BB412A"/>
    <w:multiLevelType w:val="singleLevel"/>
    <w:tmpl w:val="03BB412A"/>
    <w:lvl w:ilvl="0" w:tentative="0">
      <w:start w:val="1"/>
      <w:numFmt w:val="decimal"/>
      <w:suff w:val="nothing"/>
      <w:lvlText w:val="（%1）"/>
      <w:lvlJc w:val="left"/>
    </w:lvl>
  </w:abstractNum>
  <w:abstractNum w:abstractNumId="2">
    <w:nsid w:val="38DA3F37"/>
    <w:multiLevelType w:val="multilevel"/>
    <w:tmpl w:val="38DA3F37"/>
    <w:lvl w:ilvl="0" w:tentative="0">
      <w:start w:val="1"/>
      <w:numFmt w:val="bullet"/>
      <w:pStyle w:val="128"/>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48547E4C"/>
    <w:multiLevelType w:val="multilevel"/>
    <w:tmpl w:val="48547E4C"/>
    <w:lvl w:ilvl="0" w:tentative="0">
      <w:start w:val="1"/>
      <w:numFmt w:val="japaneseCounting"/>
      <w:lvlText w:val="%1、"/>
      <w:lvlJc w:val="left"/>
      <w:pPr>
        <w:ind w:left="992" w:hanging="51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Start w:val="0"/>
  </w:footnotePr>
  <w:endnotePr>
    <w:numFmt w:val="decimal"/>
    <w:numStart w:val="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GJmOTYxNTk2YmY0MDIwYzUwNTc3OTVlNjE0MDIifQ=="/>
    <w:docVar w:name="KGWebUrl" w:val="http://jszfcg.jsczt.cn/jszc/gateWay/joffice/office?access_token=300b1800-803d-425e-b7b3-99806d8150e4"/>
    <w:docVar w:name="KSO_WPS_MARK_KEY" w:val="dc9524e9-0d5f-4bc5-b642-c69acf49d3a8"/>
  </w:docVars>
  <w:rsids>
    <w:rsidRoot w:val="00172A27"/>
    <w:rsid w:val="00000546"/>
    <w:rsid w:val="00000AB2"/>
    <w:rsid w:val="00001556"/>
    <w:rsid w:val="00001A88"/>
    <w:rsid w:val="00002A9B"/>
    <w:rsid w:val="00005EBA"/>
    <w:rsid w:val="000065AF"/>
    <w:rsid w:val="000103FA"/>
    <w:rsid w:val="00010733"/>
    <w:rsid w:val="0001111D"/>
    <w:rsid w:val="00011C32"/>
    <w:rsid w:val="00012EF0"/>
    <w:rsid w:val="000140D0"/>
    <w:rsid w:val="000144B7"/>
    <w:rsid w:val="00015136"/>
    <w:rsid w:val="00015EC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1AD6"/>
    <w:rsid w:val="00033FA3"/>
    <w:rsid w:val="00034346"/>
    <w:rsid w:val="00035051"/>
    <w:rsid w:val="000356E5"/>
    <w:rsid w:val="0003652A"/>
    <w:rsid w:val="00036F7E"/>
    <w:rsid w:val="00036FA3"/>
    <w:rsid w:val="00040669"/>
    <w:rsid w:val="0004264E"/>
    <w:rsid w:val="000431E3"/>
    <w:rsid w:val="000435B6"/>
    <w:rsid w:val="0004496E"/>
    <w:rsid w:val="00044A66"/>
    <w:rsid w:val="00044ADE"/>
    <w:rsid w:val="000455CF"/>
    <w:rsid w:val="00045858"/>
    <w:rsid w:val="00046734"/>
    <w:rsid w:val="00046E7F"/>
    <w:rsid w:val="00047C17"/>
    <w:rsid w:val="00053E7A"/>
    <w:rsid w:val="0005583D"/>
    <w:rsid w:val="00056741"/>
    <w:rsid w:val="00056FCA"/>
    <w:rsid w:val="00057B6D"/>
    <w:rsid w:val="00057FCA"/>
    <w:rsid w:val="0006048F"/>
    <w:rsid w:val="000623F5"/>
    <w:rsid w:val="00062FB2"/>
    <w:rsid w:val="00063271"/>
    <w:rsid w:val="0006339F"/>
    <w:rsid w:val="000634B6"/>
    <w:rsid w:val="00065F50"/>
    <w:rsid w:val="000667DA"/>
    <w:rsid w:val="000668A4"/>
    <w:rsid w:val="0006738D"/>
    <w:rsid w:val="00067715"/>
    <w:rsid w:val="00067F36"/>
    <w:rsid w:val="000713A7"/>
    <w:rsid w:val="00071E47"/>
    <w:rsid w:val="00071F57"/>
    <w:rsid w:val="0007260D"/>
    <w:rsid w:val="00073424"/>
    <w:rsid w:val="00073BED"/>
    <w:rsid w:val="00074988"/>
    <w:rsid w:val="0007540B"/>
    <w:rsid w:val="00075842"/>
    <w:rsid w:val="00076AE9"/>
    <w:rsid w:val="00076F71"/>
    <w:rsid w:val="0007742F"/>
    <w:rsid w:val="0008009E"/>
    <w:rsid w:val="0008018D"/>
    <w:rsid w:val="00081396"/>
    <w:rsid w:val="00082843"/>
    <w:rsid w:val="00082CBF"/>
    <w:rsid w:val="00083333"/>
    <w:rsid w:val="000839F1"/>
    <w:rsid w:val="00084436"/>
    <w:rsid w:val="00084DE0"/>
    <w:rsid w:val="00085157"/>
    <w:rsid w:val="00085D79"/>
    <w:rsid w:val="00085EFE"/>
    <w:rsid w:val="00085F42"/>
    <w:rsid w:val="00085F63"/>
    <w:rsid w:val="000860FE"/>
    <w:rsid w:val="0008766A"/>
    <w:rsid w:val="00090915"/>
    <w:rsid w:val="00090BE7"/>
    <w:rsid w:val="00091CD8"/>
    <w:rsid w:val="0009490F"/>
    <w:rsid w:val="00094B87"/>
    <w:rsid w:val="000954BA"/>
    <w:rsid w:val="0009592A"/>
    <w:rsid w:val="0009616F"/>
    <w:rsid w:val="00096BFB"/>
    <w:rsid w:val="00097BCB"/>
    <w:rsid w:val="000A096A"/>
    <w:rsid w:val="000A0EF7"/>
    <w:rsid w:val="000A0EF8"/>
    <w:rsid w:val="000A15A0"/>
    <w:rsid w:val="000A2563"/>
    <w:rsid w:val="000A3F28"/>
    <w:rsid w:val="000A5187"/>
    <w:rsid w:val="000A57C8"/>
    <w:rsid w:val="000A58DC"/>
    <w:rsid w:val="000A7BC8"/>
    <w:rsid w:val="000A7EB6"/>
    <w:rsid w:val="000A7F6B"/>
    <w:rsid w:val="000B003D"/>
    <w:rsid w:val="000B07BD"/>
    <w:rsid w:val="000B0A49"/>
    <w:rsid w:val="000B15CC"/>
    <w:rsid w:val="000B1722"/>
    <w:rsid w:val="000B3041"/>
    <w:rsid w:val="000B5449"/>
    <w:rsid w:val="000B5677"/>
    <w:rsid w:val="000B58E2"/>
    <w:rsid w:val="000B6AFD"/>
    <w:rsid w:val="000B78B3"/>
    <w:rsid w:val="000B7CF5"/>
    <w:rsid w:val="000C0636"/>
    <w:rsid w:val="000C0D0D"/>
    <w:rsid w:val="000C25FD"/>
    <w:rsid w:val="000C3603"/>
    <w:rsid w:val="000C4F19"/>
    <w:rsid w:val="000C515F"/>
    <w:rsid w:val="000C54C8"/>
    <w:rsid w:val="000C58C8"/>
    <w:rsid w:val="000C6322"/>
    <w:rsid w:val="000C661B"/>
    <w:rsid w:val="000C6D20"/>
    <w:rsid w:val="000C6FFF"/>
    <w:rsid w:val="000C7774"/>
    <w:rsid w:val="000D0DE2"/>
    <w:rsid w:val="000D190E"/>
    <w:rsid w:val="000D1FC9"/>
    <w:rsid w:val="000D2BD4"/>
    <w:rsid w:val="000D2EFF"/>
    <w:rsid w:val="000D455E"/>
    <w:rsid w:val="000D4848"/>
    <w:rsid w:val="000D4C7D"/>
    <w:rsid w:val="000D53CE"/>
    <w:rsid w:val="000D5A2E"/>
    <w:rsid w:val="000D5A42"/>
    <w:rsid w:val="000D5B2C"/>
    <w:rsid w:val="000D63AA"/>
    <w:rsid w:val="000D682C"/>
    <w:rsid w:val="000D6D29"/>
    <w:rsid w:val="000D7507"/>
    <w:rsid w:val="000D78B0"/>
    <w:rsid w:val="000D7E1A"/>
    <w:rsid w:val="000E0BDF"/>
    <w:rsid w:val="000E13C5"/>
    <w:rsid w:val="000E190A"/>
    <w:rsid w:val="000E29B5"/>
    <w:rsid w:val="000E3129"/>
    <w:rsid w:val="000E3178"/>
    <w:rsid w:val="000E386B"/>
    <w:rsid w:val="000E3BA3"/>
    <w:rsid w:val="000E458D"/>
    <w:rsid w:val="000E66B5"/>
    <w:rsid w:val="000E6876"/>
    <w:rsid w:val="000E69A2"/>
    <w:rsid w:val="000E6D6C"/>
    <w:rsid w:val="000E76D0"/>
    <w:rsid w:val="000E7DCC"/>
    <w:rsid w:val="000F07A2"/>
    <w:rsid w:val="000F11C4"/>
    <w:rsid w:val="000F1FA3"/>
    <w:rsid w:val="000F3E9B"/>
    <w:rsid w:val="000F4096"/>
    <w:rsid w:val="000F4358"/>
    <w:rsid w:val="000F4E0F"/>
    <w:rsid w:val="000F553D"/>
    <w:rsid w:val="000F5999"/>
    <w:rsid w:val="000F5CF5"/>
    <w:rsid w:val="000F63C9"/>
    <w:rsid w:val="000F7710"/>
    <w:rsid w:val="000F7B55"/>
    <w:rsid w:val="000F7E6C"/>
    <w:rsid w:val="00100340"/>
    <w:rsid w:val="001009A1"/>
    <w:rsid w:val="001019ED"/>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AFB"/>
    <w:rsid w:val="00117E6F"/>
    <w:rsid w:val="00122C11"/>
    <w:rsid w:val="00123015"/>
    <w:rsid w:val="001231D6"/>
    <w:rsid w:val="00126278"/>
    <w:rsid w:val="00130180"/>
    <w:rsid w:val="001305D4"/>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2F1A"/>
    <w:rsid w:val="00144AE9"/>
    <w:rsid w:val="00145A1C"/>
    <w:rsid w:val="001462E0"/>
    <w:rsid w:val="00146479"/>
    <w:rsid w:val="00146643"/>
    <w:rsid w:val="00147766"/>
    <w:rsid w:val="00152826"/>
    <w:rsid w:val="001546EC"/>
    <w:rsid w:val="0015474F"/>
    <w:rsid w:val="00154AF5"/>
    <w:rsid w:val="001550C0"/>
    <w:rsid w:val="00155ECE"/>
    <w:rsid w:val="0015612C"/>
    <w:rsid w:val="00156E3A"/>
    <w:rsid w:val="00157D64"/>
    <w:rsid w:val="001608D5"/>
    <w:rsid w:val="00161A82"/>
    <w:rsid w:val="0016272D"/>
    <w:rsid w:val="00162CC5"/>
    <w:rsid w:val="00163284"/>
    <w:rsid w:val="00163A7C"/>
    <w:rsid w:val="00164509"/>
    <w:rsid w:val="001655B9"/>
    <w:rsid w:val="001665AB"/>
    <w:rsid w:val="0016728C"/>
    <w:rsid w:val="00167E2D"/>
    <w:rsid w:val="00167EC9"/>
    <w:rsid w:val="001702F5"/>
    <w:rsid w:val="001703A3"/>
    <w:rsid w:val="00170B76"/>
    <w:rsid w:val="00172460"/>
    <w:rsid w:val="0017266D"/>
    <w:rsid w:val="00172A27"/>
    <w:rsid w:val="0017324A"/>
    <w:rsid w:val="0017377A"/>
    <w:rsid w:val="001742F6"/>
    <w:rsid w:val="001745FF"/>
    <w:rsid w:val="001748AC"/>
    <w:rsid w:val="0017497C"/>
    <w:rsid w:val="00174EF5"/>
    <w:rsid w:val="001765AB"/>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10A"/>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44E0"/>
    <w:rsid w:val="001A4E8F"/>
    <w:rsid w:val="001A51B7"/>
    <w:rsid w:val="001A57C2"/>
    <w:rsid w:val="001A7795"/>
    <w:rsid w:val="001A7B4C"/>
    <w:rsid w:val="001A7BFE"/>
    <w:rsid w:val="001B01C6"/>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F12"/>
    <w:rsid w:val="001C3F14"/>
    <w:rsid w:val="001C3F6B"/>
    <w:rsid w:val="001C507C"/>
    <w:rsid w:val="001C7569"/>
    <w:rsid w:val="001C7754"/>
    <w:rsid w:val="001C78FA"/>
    <w:rsid w:val="001D07F0"/>
    <w:rsid w:val="001D0D3C"/>
    <w:rsid w:val="001D186B"/>
    <w:rsid w:val="001D1EB2"/>
    <w:rsid w:val="001D2A96"/>
    <w:rsid w:val="001D3142"/>
    <w:rsid w:val="001D46CF"/>
    <w:rsid w:val="001D4B9A"/>
    <w:rsid w:val="001D5309"/>
    <w:rsid w:val="001D5795"/>
    <w:rsid w:val="001D61A5"/>
    <w:rsid w:val="001D6222"/>
    <w:rsid w:val="001D638F"/>
    <w:rsid w:val="001D6765"/>
    <w:rsid w:val="001D6DE3"/>
    <w:rsid w:val="001D6E04"/>
    <w:rsid w:val="001E13F5"/>
    <w:rsid w:val="001E1D55"/>
    <w:rsid w:val="001E220C"/>
    <w:rsid w:val="001E3D01"/>
    <w:rsid w:val="001E5F42"/>
    <w:rsid w:val="001E64A5"/>
    <w:rsid w:val="001E6B99"/>
    <w:rsid w:val="001E72E5"/>
    <w:rsid w:val="001F1467"/>
    <w:rsid w:val="001F1694"/>
    <w:rsid w:val="001F16AE"/>
    <w:rsid w:val="001F1D43"/>
    <w:rsid w:val="001F2610"/>
    <w:rsid w:val="001F34D5"/>
    <w:rsid w:val="001F358D"/>
    <w:rsid w:val="001F466D"/>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F66"/>
    <w:rsid w:val="00210072"/>
    <w:rsid w:val="00210108"/>
    <w:rsid w:val="002108C1"/>
    <w:rsid w:val="00213737"/>
    <w:rsid w:val="00213A43"/>
    <w:rsid w:val="00214214"/>
    <w:rsid w:val="0021486E"/>
    <w:rsid w:val="0021542F"/>
    <w:rsid w:val="0021700A"/>
    <w:rsid w:val="00217736"/>
    <w:rsid w:val="002203F5"/>
    <w:rsid w:val="00220B3A"/>
    <w:rsid w:val="002238CD"/>
    <w:rsid w:val="002247FA"/>
    <w:rsid w:val="00224912"/>
    <w:rsid w:val="00224A02"/>
    <w:rsid w:val="00225AD4"/>
    <w:rsid w:val="00225ED7"/>
    <w:rsid w:val="00227B1A"/>
    <w:rsid w:val="0023036A"/>
    <w:rsid w:val="002304ED"/>
    <w:rsid w:val="00230F76"/>
    <w:rsid w:val="00231953"/>
    <w:rsid w:val="002323C9"/>
    <w:rsid w:val="00232418"/>
    <w:rsid w:val="0023372A"/>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50329"/>
    <w:rsid w:val="002508D3"/>
    <w:rsid w:val="002511DA"/>
    <w:rsid w:val="0025120B"/>
    <w:rsid w:val="00251334"/>
    <w:rsid w:val="0025276A"/>
    <w:rsid w:val="00253B4C"/>
    <w:rsid w:val="002557D2"/>
    <w:rsid w:val="00255A7A"/>
    <w:rsid w:val="002567F6"/>
    <w:rsid w:val="00256976"/>
    <w:rsid w:val="00256EF8"/>
    <w:rsid w:val="00257303"/>
    <w:rsid w:val="002574B8"/>
    <w:rsid w:val="00260643"/>
    <w:rsid w:val="002610E8"/>
    <w:rsid w:val="002625F8"/>
    <w:rsid w:val="002629C0"/>
    <w:rsid w:val="002630CD"/>
    <w:rsid w:val="0026343B"/>
    <w:rsid w:val="00263475"/>
    <w:rsid w:val="00263FB2"/>
    <w:rsid w:val="002642D6"/>
    <w:rsid w:val="0026460E"/>
    <w:rsid w:val="0026460F"/>
    <w:rsid w:val="00264B46"/>
    <w:rsid w:val="00264E34"/>
    <w:rsid w:val="00264FD3"/>
    <w:rsid w:val="0026519F"/>
    <w:rsid w:val="002655B1"/>
    <w:rsid w:val="0026568D"/>
    <w:rsid w:val="0026582D"/>
    <w:rsid w:val="00266D65"/>
    <w:rsid w:val="002674FC"/>
    <w:rsid w:val="00267C26"/>
    <w:rsid w:val="00267CE1"/>
    <w:rsid w:val="00272FE7"/>
    <w:rsid w:val="00273807"/>
    <w:rsid w:val="002759E6"/>
    <w:rsid w:val="002774F2"/>
    <w:rsid w:val="00277A71"/>
    <w:rsid w:val="00277A7C"/>
    <w:rsid w:val="00280DAA"/>
    <w:rsid w:val="00280F02"/>
    <w:rsid w:val="00281521"/>
    <w:rsid w:val="0028165B"/>
    <w:rsid w:val="0028342A"/>
    <w:rsid w:val="00287D53"/>
    <w:rsid w:val="00290131"/>
    <w:rsid w:val="00290232"/>
    <w:rsid w:val="0029088E"/>
    <w:rsid w:val="0029120D"/>
    <w:rsid w:val="00291528"/>
    <w:rsid w:val="002929E4"/>
    <w:rsid w:val="0029448F"/>
    <w:rsid w:val="002953BA"/>
    <w:rsid w:val="002973FD"/>
    <w:rsid w:val="00297900"/>
    <w:rsid w:val="002A0A5B"/>
    <w:rsid w:val="002A11B9"/>
    <w:rsid w:val="002A1226"/>
    <w:rsid w:val="002A156B"/>
    <w:rsid w:val="002A2121"/>
    <w:rsid w:val="002A221F"/>
    <w:rsid w:val="002A27C2"/>
    <w:rsid w:val="002A28DD"/>
    <w:rsid w:val="002A31EB"/>
    <w:rsid w:val="002A36AA"/>
    <w:rsid w:val="002A432D"/>
    <w:rsid w:val="002A46DC"/>
    <w:rsid w:val="002A537C"/>
    <w:rsid w:val="002A5646"/>
    <w:rsid w:val="002A5B21"/>
    <w:rsid w:val="002A6112"/>
    <w:rsid w:val="002A73E5"/>
    <w:rsid w:val="002A775D"/>
    <w:rsid w:val="002B0137"/>
    <w:rsid w:val="002B2759"/>
    <w:rsid w:val="002B37EB"/>
    <w:rsid w:val="002B405E"/>
    <w:rsid w:val="002B4B4F"/>
    <w:rsid w:val="002B4F8A"/>
    <w:rsid w:val="002B55A3"/>
    <w:rsid w:val="002B6197"/>
    <w:rsid w:val="002B6E98"/>
    <w:rsid w:val="002B766C"/>
    <w:rsid w:val="002B7DA4"/>
    <w:rsid w:val="002C0538"/>
    <w:rsid w:val="002C16D8"/>
    <w:rsid w:val="002C170D"/>
    <w:rsid w:val="002C1F75"/>
    <w:rsid w:val="002C27CB"/>
    <w:rsid w:val="002C465E"/>
    <w:rsid w:val="002C4831"/>
    <w:rsid w:val="002C5D8E"/>
    <w:rsid w:val="002C688F"/>
    <w:rsid w:val="002C7464"/>
    <w:rsid w:val="002C7D4D"/>
    <w:rsid w:val="002D039C"/>
    <w:rsid w:val="002D0AED"/>
    <w:rsid w:val="002D0EE5"/>
    <w:rsid w:val="002D123F"/>
    <w:rsid w:val="002D24FF"/>
    <w:rsid w:val="002D32C5"/>
    <w:rsid w:val="002D3D9A"/>
    <w:rsid w:val="002D3DCF"/>
    <w:rsid w:val="002D4AAB"/>
    <w:rsid w:val="002D4FA1"/>
    <w:rsid w:val="002D5175"/>
    <w:rsid w:val="002D5706"/>
    <w:rsid w:val="002D64F0"/>
    <w:rsid w:val="002D6AE9"/>
    <w:rsid w:val="002D71CE"/>
    <w:rsid w:val="002D7415"/>
    <w:rsid w:val="002D7E99"/>
    <w:rsid w:val="002E0187"/>
    <w:rsid w:val="002E01EF"/>
    <w:rsid w:val="002E0917"/>
    <w:rsid w:val="002E0BAC"/>
    <w:rsid w:val="002E0D30"/>
    <w:rsid w:val="002E11B4"/>
    <w:rsid w:val="002E1B34"/>
    <w:rsid w:val="002E2BB0"/>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19E"/>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B5A"/>
    <w:rsid w:val="003068A0"/>
    <w:rsid w:val="00313C9F"/>
    <w:rsid w:val="0031482B"/>
    <w:rsid w:val="00314A90"/>
    <w:rsid w:val="00314C91"/>
    <w:rsid w:val="00317669"/>
    <w:rsid w:val="00317F41"/>
    <w:rsid w:val="00321C1B"/>
    <w:rsid w:val="00323BB3"/>
    <w:rsid w:val="00323C57"/>
    <w:rsid w:val="00323F5E"/>
    <w:rsid w:val="003251A6"/>
    <w:rsid w:val="00325DFB"/>
    <w:rsid w:val="00326695"/>
    <w:rsid w:val="00326724"/>
    <w:rsid w:val="00326CD4"/>
    <w:rsid w:val="003276EC"/>
    <w:rsid w:val="0032783F"/>
    <w:rsid w:val="00327A7D"/>
    <w:rsid w:val="00327AA9"/>
    <w:rsid w:val="00327EF8"/>
    <w:rsid w:val="00330AE8"/>
    <w:rsid w:val="003328C0"/>
    <w:rsid w:val="0033346D"/>
    <w:rsid w:val="00333606"/>
    <w:rsid w:val="00333C74"/>
    <w:rsid w:val="00333F95"/>
    <w:rsid w:val="00336FA4"/>
    <w:rsid w:val="003373C4"/>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672"/>
    <w:rsid w:val="00350899"/>
    <w:rsid w:val="00351BC2"/>
    <w:rsid w:val="003522CC"/>
    <w:rsid w:val="003526B4"/>
    <w:rsid w:val="00352985"/>
    <w:rsid w:val="003535D6"/>
    <w:rsid w:val="003535E0"/>
    <w:rsid w:val="003549F2"/>
    <w:rsid w:val="00354BDD"/>
    <w:rsid w:val="0035616F"/>
    <w:rsid w:val="003563B1"/>
    <w:rsid w:val="00357154"/>
    <w:rsid w:val="00360F5B"/>
    <w:rsid w:val="00361E8D"/>
    <w:rsid w:val="003625C5"/>
    <w:rsid w:val="00362FAE"/>
    <w:rsid w:val="00363883"/>
    <w:rsid w:val="003653F1"/>
    <w:rsid w:val="00365C15"/>
    <w:rsid w:val="00365F0A"/>
    <w:rsid w:val="0036618A"/>
    <w:rsid w:val="00367AEE"/>
    <w:rsid w:val="00367EC3"/>
    <w:rsid w:val="00370716"/>
    <w:rsid w:val="003717BE"/>
    <w:rsid w:val="00371CFC"/>
    <w:rsid w:val="00373C45"/>
    <w:rsid w:val="003741A5"/>
    <w:rsid w:val="00374DC8"/>
    <w:rsid w:val="00374EDA"/>
    <w:rsid w:val="003751D7"/>
    <w:rsid w:val="00375500"/>
    <w:rsid w:val="00375586"/>
    <w:rsid w:val="00376496"/>
    <w:rsid w:val="00376828"/>
    <w:rsid w:val="00376848"/>
    <w:rsid w:val="003777AF"/>
    <w:rsid w:val="00377F76"/>
    <w:rsid w:val="00380270"/>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63F"/>
    <w:rsid w:val="003A19CB"/>
    <w:rsid w:val="003A23EC"/>
    <w:rsid w:val="003A2746"/>
    <w:rsid w:val="003A2952"/>
    <w:rsid w:val="003A3D3D"/>
    <w:rsid w:val="003A5070"/>
    <w:rsid w:val="003A56B0"/>
    <w:rsid w:val="003A58EF"/>
    <w:rsid w:val="003A7076"/>
    <w:rsid w:val="003B05BC"/>
    <w:rsid w:val="003B0CEC"/>
    <w:rsid w:val="003B156C"/>
    <w:rsid w:val="003B23CE"/>
    <w:rsid w:val="003B2D19"/>
    <w:rsid w:val="003B5901"/>
    <w:rsid w:val="003B60FA"/>
    <w:rsid w:val="003B64EA"/>
    <w:rsid w:val="003B7B4D"/>
    <w:rsid w:val="003C0ADC"/>
    <w:rsid w:val="003C290B"/>
    <w:rsid w:val="003C69F6"/>
    <w:rsid w:val="003C6BEE"/>
    <w:rsid w:val="003C7549"/>
    <w:rsid w:val="003D0866"/>
    <w:rsid w:val="003D1841"/>
    <w:rsid w:val="003D1E69"/>
    <w:rsid w:val="003D201B"/>
    <w:rsid w:val="003D3555"/>
    <w:rsid w:val="003D3C66"/>
    <w:rsid w:val="003D3C71"/>
    <w:rsid w:val="003D419D"/>
    <w:rsid w:val="003D4480"/>
    <w:rsid w:val="003D59CF"/>
    <w:rsid w:val="003E017B"/>
    <w:rsid w:val="003E154C"/>
    <w:rsid w:val="003E3316"/>
    <w:rsid w:val="003E36FF"/>
    <w:rsid w:val="003E3A6B"/>
    <w:rsid w:val="003E3FE6"/>
    <w:rsid w:val="003E4653"/>
    <w:rsid w:val="003E4C9C"/>
    <w:rsid w:val="003E5334"/>
    <w:rsid w:val="003E5B3D"/>
    <w:rsid w:val="003E5F84"/>
    <w:rsid w:val="003E6B15"/>
    <w:rsid w:val="003E6C59"/>
    <w:rsid w:val="003E6E66"/>
    <w:rsid w:val="003E71C6"/>
    <w:rsid w:val="003E75C3"/>
    <w:rsid w:val="003E7911"/>
    <w:rsid w:val="003E7EB7"/>
    <w:rsid w:val="003F1302"/>
    <w:rsid w:val="003F18D9"/>
    <w:rsid w:val="003F1DF8"/>
    <w:rsid w:val="003F2792"/>
    <w:rsid w:val="003F291E"/>
    <w:rsid w:val="003F3CDE"/>
    <w:rsid w:val="003F4CA5"/>
    <w:rsid w:val="003F5766"/>
    <w:rsid w:val="003F5F8E"/>
    <w:rsid w:val="003F6ABB"/>
    <w:rsid w:val="003F73A5"/>
    <w:rsid w:val="004016E9"/>
    <w:rsid w:val="00401799"/>
    <w:rsid w:val="00401EA0"/>
    <w:rsid w:val="00402145"/>
    <w:rsid w:val="0040233A"/>
    <w:rsid w:val="00402838"/>
    <w:rsid w:val="0040431B"/>
    <w:rsid w:val="004044FA"/>
    <w:rsid w:val="00404D80"/>
    <w:rsid w:val="00405393"/>
    <w:rsid w:val="00406A9D"/>
    <w:rsid w:val="00406CB3"/>
    <w:rsid w:val="00407107"/>
    <w:rsid w:val="00410143"/>
    <w:rsid w:val="004105DE"/>
    <w:rsid w:val="00410F2E"/>
    <w:rsid w:val="0041144F"/>
    <w:rsid w:val="00412477"/>
    <w:rsid w:val="0041654F"/>
    <w:rsid w:val="0041717C"/>
    <w:rsid w:val="004214C7"/>
    <w:rsid w:val="00421885"/>
    <w:rsid w:val="004220FE"/>
    <w:rsid w:val="0042410A"/>
    <w:rsid w:val="00424D39"/>
    <w:rsid w:val="004260D0"/>
    <w:rsid w:val="00430320"/>
    <w:rsid w:val="004307C8"/>
    <w:rsid w:val="00431D96"/>
    <w:rsid w:val="00431E81"/>
    <w:rsid w:val="004330EC"/>
    <w:rsid w:val="004332C6"/>
    <w:rsid w:val="00434253"/>
    <w:rsid w:val="004368B8"/>
    <w:rsid w:val="004368C0"/>
    <w:rsid w:val="00437BCE"/>
    <w:rsid w:val="0044040E"/>
    <w:rsid w:val="00442837"/>
    <w:rsid w:val="00442CC6"/>
    <w:rsid w:val="00442D73"/>
    <w:rsid w:val="00443251"/>
    <w:rsid w:val="00443A18"/>
    <w:rsid w:val="00443F68"/>
    <w:rsid w:val="00444153"/>
    <w:rsid w:val="00444FFC"/>
    <w:rsid w:val="00445426"/>
    <w:rsid w:val="0044560A"/>
    <w:rsid w:val="00446D75"/>
    <w:rsid w:val="00447864"/>
    <w:rsid w:val="00451F81"/>
    <w:rsid w:val="004539C0"/>
    <w:rsid w:val="00454344"/>
    <w:rsid w:val="00454549"/>
    <w:rsid w:val="00455070"/>
    <w:rsid w:val="004555B3"/>
    <w:rsid w:val="004558F1"/>
    <w:rsid w:val="004575AE"/>
    <w:rsid w:val="004601C9"/>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956"/>
    <w:rsid w:val="00477C17"/>
    <w:rsid w:val="00480125"/>
    <w:rsid w:val="0048064D"/>
    <w:rsid w:val="00481CF4"/>
    <w:rsid w:val="00482AC2"/>
    <w:rsid w:val="00484BE4"/>
    <w:rsid w:val="00485409"/>
    <w:rsid w:val="004855F7"/>
    <w:rsid w:val="004859EA"/>
    <w:rsid w:val="00485ECB"/>
    <w:rsid w:val="00485EE2"/>
    <w:rsid w:val="00486224"/>
    <w:rsid w:val="004869F6"/>
    <w:rsid w:val="00486B1D"/>
    <w:rsid w:val="00487133"/>
    <w:rsid w:val="004875BB"/>
    <w:rsid w:val="00487660"/>
    <w:rsid w:val="00487D91"/>
    <w:rsid w:val="00487EF2"/>
    <w:rsid w:val="00490621"/>
    <w:rsid w:val="00490BE1"/>
    <w:rsid w:val="00490C75"/>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D0458"/>
    <w:rsid w:val="004D0ADB"/>
    <w:rsid w:val="004D0BAA"/>
    <w:rsid w:val="004D1B87"/>
    <w:rsid w:val="004D3D50"/>
    <w:rsid w:val="004D3F25"/>
    <w:rsid w:val="004D5EDE"/>
    <w:rsid w:val="004E09A2"/>
    <w:rsid w:val="004E0ADF"/>
    <w:rsid w:val="004E0EC2"/>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2C8A"/>
    <w:rsid w:val="00503728"/>
    <w:rsid w:val="005047CE"/>
    <w:rsid w:val="00505500"/>
    <w:rsid w:val="00505AC7"/>
    <w:rsid w:val="005061DE"/>
    <w:rsid w:val="0050782F"/>
    <w:rsid w:val="00510353"/>
    <w:rsid w:val="005109F7"/>
    <w:rsid w:val="00510A09"/>
    <w:rsid w:val="00511165"/>
    <w:rsid w:val="005116BA"/>
    <w:rsid w:val="00513B6A"/>
    <w:rsid w:val="0051446B"/>
    <w:rsid w:val="00515399"/>
    <w:rsid w:val="00515B9C"/>
    <w:rsid w:val="00516114"/>
    <w:rsid w:val="00516A92"/>
    <w:rsid w:val="005175F9"/>
    <w:rsid w:val="0052011E"/>
    <w:rsid w:val="00521296"/>
    <w:rsid w:val="0052232A"/>
    <w:rsid w:val="00522541"/>
    <w:rsid w:val="0052292E"/>
    <w:rsid w:val="00523930"/>
    <w:rsid w:val="00524276"/>
    <w:rsid w:val="005243FD"/>
    <w:rsid w:val="005250D8"/>
    <w:rsid w:val="005250E0"/>
    <w:rsid w:val="00525373"/>
    <w:rsid w:val="005263BF"/>
    <w:rsid w:val="005279E2"/>
    <w:rsid w:val="00530D01"/>
    <w:rsid w:val="00533196"/>
    <w:rsid w:val="005347D0"/>
    <w:rsid w:val="005365CA"/>
    <w:rsid w:val="00536991"/>
    <w:rsid w:val="00536EFE"/>
    <w:rsid w:val="00537500"/>
    <w:rsid w:val="00540316"/>
    <w:rsid w:val="0054065A"/>
    <w:rsid w:val="00540EB0"/>
    <w:rsid w:val="00541004"/>
    <w:rsid w:val="00541053"/>
    <w:rsid w:val="00542949"/>
    <w:rsid w:val="00542CF0"/>
    <w:rsid w:val="005467BF"/>
    <w:rsid w:val="00546EEA"/>
    <w:rsid w:val="00547737"/>
    <w:rsid w:val="005501FD"/>
    <w:rsid w:val="005505B1"/>
    <w:rsid w:val="00551BF3"/>
    <w:rsid w:val="00553F39"/>
    <w:rsid w:val="00556151"/>
    <w:rsid w:val="005562CB"/>
    <w:rsid w:val="005563D1"/>
    <w:rsid w:val="00556B11"/>
    <w:rsid w:val="00556D35"/>
    <w:rsid w:val="00560142"/>
    <w:rsid w:val="00560B23"/>
    <w:rsid w:val="00561773"/>
    <w:rsid w:val="00561D4F"/>
    <w:rsid w:val="00561DC2"/>
    <w:rsid w:val="00562684"/>
    <w:rsid w:val="00562E39"/>
    <w:rsid w:val="005632A3"/>
    <w:rsid w:val="005632D7"/>
    <w:rsid w:val="0056489B"/>
    <w:rsid w:val="00564BF9"/>
    <w:rsid w:val="00565B7B"/>
    <w:rsid w:val="00566B4E"/>
    <w:rsid w:val="00566BF8"/>
    <w:rsid w:val="00566EE0"/>
    <w:rsid w:val="005677B2"/>
    <w:rsid w:val="00567D88"/>
    <w:rsid w:val="0057069C"/>
    <w:rsid w:val="00571C4D"/>
    <w:rsid w:val="005735AC"/>
    <w:rsid w:val="00575A5E"/>
    <w:rsid w:val="00575EC7"/>
    <w:rsid w:val="00576784"/>
    <w:rsid w:val="0057779B"/>
    <w:rsid w:val="00580806"/>
    <w:rsid w:val="005808D7"/>
    <w:rsid w:val="00580BF7"/>
    <w:rsid w:val="00581F8C"/>
    <w:rsid w:val="005823DC"/>
    <w:rsid w:val="0058255D"/>
    <w:rsid w:val="00582F70"/>
    <w:rsid w:val="00584C1C"/>
    <w:rsid w:val="00585198"/>
    <w:rsid w:val="00586426"/>
    <w:rsid w:val="00586A2A"/>
    <w:rsid w:val="00590CF2"/>
    <w:rsid w:val="00591CAE"/>
    <w:rsid w:val="00592A42"/>
    <w:rsid w:val="005937F3"/>
    <w:rsid w:val="0059392D"/>
    <w:rsid w:val="005950E1"/>
    <w:rsid w:val="0059579B"/>
    <w:rsid w:val="00597865"/>
    <w:rsid w:val="005A0E0A"/>
    <w:rsid w:val="005A1E63"/>
    <w:rsid w:val="005A2016"/>
    <w:rsid w:val="005A2EA2"/>
    <w:rsid w:val="005A3504"/>
    <w:rsid w:val="005A559E"/>
    <w:rsid w:val="005A60E5"/>
    <w:rsid w:val="005A6C6C"/>
    <w:rsid w:val="005A74D4"/>
    <w:rsid w:val="005A78C1"/>
    <w:rsid w:val="005A7F48"/>
    <w:rsid w:val="005B09CF"/>
    <w:rsid w:val="005B1402"/>
    <w:rsid w:val="005B1C57"/>
    <w:rsid w:val="005B3D9B"/>
    <w:rsid w:val="005B55B2"/>
    <w:rsid w:val="005B71E3"/>
    <w:rsid w:val="005C31E4"/>
    <w:rsid w:val="005C32F2"/>
    <w:rsid w:val="005C35F6"/>
    <w:rsid w:val="005C3EBE"/>
    <w:rsid w:val="005C564A"/>
    <w:rsid w:val="005C564E"/>
    <w:rsid w:val="005C5B8F"/>
    <w:rsid w:val="005C5CFE"/>
    <w:rsid w:val="005C5D43"/>
    <w:rsid w:val="005C6048"/>
    <w:rsid w:val="005C61E3"/>
    <w:rsid w:val="005C740A"/>
    <w:rsid w:val="005C74D0"/>
    <w:rsid w:val="005C7BD5"/>
    <w:rsid w:val="005C7E74"/>
    <w:rsid w:val="005D223D"/>
    <w:rsid w:val="005D2428"/>
    <w:rsid w:val="005D2AD8"/>
    <w:rsid w:val="005D3696"/>
    <w:rsid w:val="005D3AF2"/>
    <w:rsid w:val="005D6053"/>
    <w:rsid w:val="005D7816"/>
    <w:rsid w:val="005D798C"/>
    <w:rsid w:val="005E2119"/>
    <w:rsid w:val="005E38BB"/>
    <w:rsid w:val="005E49A3"/>
    <w:rsid w:val="005E6BFC"/>
    <w:rsid w:val="005E6D29"/>
    <w:rsid w:val="005E6E97"/>
    <w:rsid w:val="005E7E46"/>
    <w:rsid w:val="005F0A73"/>
    <w:rsid w:val="005F1DDE"/>
    <w:rsid w:val="005F33F4"/>
    <w:rsid w:val="005F347B"/>
    <w:rsid w:val="005F363A"/>
    <w:rsid w:val="005F37A7"/>
    <w:rsid w:val="005F3A1F"/>
    <w:rsid w:val="005F3E73"/>
    <w:rsid w:val="005F4FAA"/>
    <w:rsid w:val="005F5C7F"/>
    <w:rsid w:val="006015AD"/>
    <w:rsid w:val="006023B5"/>
    <w:rsid w:val="0060456C"/>
    <w:rsid w:val="006046E5"/>
    <w:rsid w:val="006048EE"/>
    <w:rsid w:val="00607499"/>
    <w:rsid w:val="00607679"/>
    <w:rsid w:val="00612F49"/>
    <w:rsid w:val="0061417D"/>
    <w:rsid w:val="0061547A"/>
    <w:rsid w:val="00616D1C"/>
    <w:rsid w:val="00616FD4"/>
    <w:rsid w:val="00621416"/>
    <w:rsid w:val="0062198B"/>
    <w:rsid w:val="00623A9E"/>
    <w:rsid w:val="0062417D"/>
    <w:rsid w:val="00625AFB"/>
    <w:rsid w:val="00626796"/>
    <w:rsid w:val="0062722E"/>
    <w:rsid w:val="00633086"/>
    <w:rsid w:val="00635E25"/>
    <w:rsid w:val="00635FBA"/>
    <w:rsid w:val="0063671A"/>
    <w:rsid w:val="00640FDD"/>
    <w:rsid w:val="006416E6"/>
    <w:rsid w:val="00641F10"/>
    <w:rsid w:val="006426A8"/>
    <w:rsid w:val="00643D3F"/>
    <w:rsid w:val="00643F93"/>
    <w:rsid w:val="0064478C"/>
    <w:rsid w:val="00646AAA"/>
    <w:rsid w:val="00647082"/>
    <w:rsid w:val="00650160"/>
    <w:rsid w:val="0065076A"/>
    <w:rsid w:val="00652D87"/>
    <w:rsid w:val="00653456"/>
    <w:rsid w:val="00653742"/>
    <w:rsid w:val="00653774"/>
    <w:rsid w:val="0065575F"/>
    <w:rsid w:val="006568A2"/>
    <w:rsid w:val="006568D7"/>
    <w:rsid w:val="00656CAE"/>
    <w:rsid w:val="00657F6A"/>
    <w:rsid w:val="006604BC"/>
    <w:rsid w:val="00660F80"/>
    <w:rsid w:val="00663999"/>
    <w:rsid w:val="00663BF8"/>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8012A"/>
    <w:rsid w:val="00680D84"/>
    <w:rsid w:val="00680E1B"/>
    <w:rsid w:val="00681790"/>
    <w:rsid w:val="0068304D"/>
    <w:rsid w:val="00683C15"/>
    <w:rsid w:val="00683E0C"/>
    <w:rsid w:val="00685117"/>
    <w:rsid w:val="00685CB8"/>
    <w:rsid w:val="0068646F"/>
    <w:rsid w:val="0068671D"/>
    <w:rsid w:val="006873E2"/>
    <w:rsid w:val="0068768A"/>
    <w:rsid w:val="00687B70"/>
    <w:rsid w:val="00690582"/>
    <w:rsid w:val="00690848"/>
    <w:rsid w:val="00690E7F"/>
    <w:rsid w:val="006913DB"/>
    <w:rsid w:val="00691F22"/>
    <w:rsid w:val="0069212E"/>
    <w:rsid w:val="00692831"/>
    <w:rsid w:val="00693A34"/>
    <w:rsid w:val="00693B3A"/>
    <w:rsid w:val="00693B58"/>
    <w:rsid w:val="00694A80"/>
    <w:rsid w:val="00695B21"/>
    <w:rsid w:val="00696431"/>
    <w:rsid w:val="00696F86"/>
    <w:rsid w:val="006A3983"/>
    <w:rsid w:val="006A4770"/>
    <w:rsid w:val="006A4FB4"/>
    <w:rsid w:val="006A534B"/>
    <w:rsid w:val="006A68F1"/>
    <w:rsid w:val="006A6A75"/>
    <w:rsid w:val="006A6C5C"/>
    <w:rsid w:val="006A7302"/>
    <w:rsid w:val="006B00DC"/>
    <w:rsid w:val="006B098C"/>
    <w:rsid w:val="006B0FFF"/>
    <w:rsid w:val="006B16FF"/>
    <w:rsid w:val="006B1B1D"/>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215F"/>
    <w:rsid w:val="006D39A0"/>
    <w:rsid w:val="006D3F37"/>
    <w:rsid w:val="006D5119"/>
    <w:rsid w:val="006D6FAE"/>
    <w:rsid w:val="006D7703"/>
    <w:rsid w:val="006D77B1"/>
    <w:rsid w:val="006E008F"/>
    <w:rsid w:val="006E01D7"/>
    <w:rsid w:val="006E1D37"/>
    <w:rsid w:val="006E3CC9"/>
    <w:rsid w:val="006E5648"/>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20A2"/>
    <w:rsid w:val="00702A31"/>
    <w:rsid w:val="00702D60"/>
    <w:rsid w:val="00702F14"/>
    <w:rsid w:val="0070302C"/>
    <w:rsid w:val="007037B5"/>
    <w:rsid w:val="00703865"/>
    <w:rsid w:val="00704125"/>
    <w:rsid w:val="0070429A"/>
    <w:rsid w:val="00704BAD"/>
    <w:rsid w:val="00705055"/>
    <w:rsid w:val="00706023"/>
    <w:rsid w:val="00706370"/>
    <w:rsid w:val="00706C55"/>
    <w:rsid w:val="00707165"/>
    <w:rsid w:val="00707232"/>
    <w:rsid w:val="0071105F"/>
    <w:rsid w:val="00711215"/>
    <w:rsid w:val="0071139A"/>
    <w:rsid w:val="0071149B"/>
    <w:rsid w:val="00711554"/>
    <w:rsid w:val="007121B2"/>
    <w:rsid w:val="00713D30"/>
    <w:rsid w:val="007144D0"/>
    <w:rsid w:val="00714BC8"/>
    <w:rsid w:val="0071583B"/>
    <w:rsid w:val="0071661C"/>
    <w:rsid w:val="007168E1"/>
    <w:rsid w:val="00720101"/>
    <w:rsid w:val="007206C8"/>
    <w:rsid w:val="0072078A"/>
    <w:rsid w:val="007213D7"/>
    <w:rsid w:val="007216E2"/>
    <w:rsid w:val="0072221F"/>
    <w:rsid w:val="00722441"/>
    <w:rsid w:val="0072334E"/>
    <w:rsid w:val="0072356B"/>
    <w:rsid w:val="00723ACC"/>
    <w:rsid w:val="00725A2F"/>
    <w:rsid w:val="0072665F"/>
    <w:rsid w:val="00727D3F"/>
    <w:rsid w:val="0073070A"/>
    <w:rsid w:val="007308AF"/>
    <w:rsid w:val="00730D50"/>
    <w:rsid w:val="007311C8"/>
    <w:rsid w:val="00731352"/>
    <w:rsid w:val="007314A8"/>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049"/>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2293"/>
    <w:rsid w:val="00773465"/>
    <w:rsid w:val="00773862"/>
    <w:rsid w:val="0077434F"/>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2AEC"/>
    <w:rsid w:val="007963DB"/>
    <w:rsid w:val="00796F1B"/>
    <w:rsid w:val="00797A4E"/>
    <w:rsid w:val="00797C4E"/>
    <w:rsid w:val="007A0307"/>
    <w:rsid w:val="007A043A"/>
    <w:rsid w:val="007A142B"/>
    <w:rsid w:val="007A1CBE"/>
    <w:rsid w:val="007A3148"/>
    <w:rsid w:val="007A4620"/>
    <w:rsid w:val="007A50C4"/>
    <w:rsid w:val="007A5430"/>
    <w:rsid w:val="007A6E0B"/>
    <w:rsid w:val="007A70B4"/>
    <w:rsid w:val="007B048E"/>
    <w:rsid w:val="007B077E"/>
    <w:rsid w:val="007B1A3D"/>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12D4"/>
    <w:rsid w:val="007C16EA"/>
    <w:rsid w:val="007C1789"/>
    <w:rsid w:val="007C1A23"/>
    <w:rsid w:val="007C228C"/>
    <w:rsid w:val="007C29A3"/>
    <w:rsid w:val="007C2CA3"/>
    <w:rsid w:val="007C2E9A"/>
    <w:rsid w:val="007C3230"/>
    <w:rsid w:val="007C3527"/>
    <w:rsid w:val="007C57CB"/>
    <w:rsid w:val="007C5BAD"/>
    <w:rsid w:val="007C5DDE"/>
    <w:rsid w:val="007C60DB"/>
    <w:rsid w:val="007C6147"/>
    <w:rsid w:val="007C6AD5"/>
    <w:rsid w:val="007C6C85"/>
    <w:rsid w:val="007C72FF"/>
    <w:rsid w:val="007C7827"/>
    <w:rsid w:val="007C795E"/>
    <w:rsid w:val="007C7DAB"/>
    <w:rsid w:val="007D23CA"/>
    <w:rsid w:val="007D28A8"/>
    <w:rsid w:val="007D34F2"/>
    <w:rsid w:val="007D3E13"/>
    <w:rsid w:val="007D42C2"/>
    <w:rsid w:val="007D4A85"/>
    <w:rsid w:val="007D4C90"/>
    <w:rsid w:val="007D602B"/>
    <w:rsid w:val="007D64DA"/>
    <w:rsid w:val="007D6B19"/>
    <w:rsid w:val="007D6D9A"/>
    <w:rsid w:val="007D7074"/>
    <w:rsid w:val="007D767F"/>
    <w:rsid w:val="007E09EE"/>
    <w:rsid w:val="007E0F13"/>
    <w:rsid w:val="007E1294"/>
    <w:rsid w:val="007E19D6"/>
    <w:rsid w:val="007E3986"/>
    <w:rsid w:val="007E4615"/>
    <w:rsid w:val="007E5A5F"/>
    <w:rsid w:val="007E66A2"/>
    <w:rsid w:val="007E6B04"/>
    <w:rsid w:val="007E6F3C"/>
    <w:rsid w:val="007E7FE8"/>
    <w:rsid w:val="007F08EE"/>
    <w:rsid w:val="007F190C"/>
    <w:rsid w:val="007F1947"/>
    <w:rsid w:val="007F19E9"/>
    <w:rsid w:val="007F32E7"/>
    <w:rsid w:val="007F33D5"/>
    <w:rsid w:val="007F4046"/>
    <w:rsid w:val="007F7FE6"/>
    <w:rsid w:val="00801100"/>
    <w:rsid w:val="00801F47"/>
    <w:rsid w:val="00803287"/>
    <w:rsid w:val="00803ED3"/>
    <w:rsid w:val="0080407B"/>
    <w:rsid w:val="00804162"/>
    <w:rsid w:val="00804195"/>
    <w:rsid w:val="00804416"/>
    <w:rsid w:val="00804471"/>
    <w:rsid w:val="00804B9D"/>
    <w:rsid w:val="00805157"/>
    <w:rsid w:val="008053CE"/>
    <w:rsid w:val="00805BAE"/>
    <w:rsid w:val="00806F20"/>
    <w:rsid w:val="0080771F"/>
    <w:rsid w:val="00810010"/>
    <w:rsid w:val="00810595"/>
    <w:rsid w:val="008108D3"/>
    <w:rsid w:val="00810D6B"/>
    <w:rsid w:val="00811840"/>
    <w:rsid w:val="00811995"/>
    <w:rsid w:val="00811B41"/>
    <w:rsid w:val="00812A0B"/>
    <w:rsid w:val="0081389D"/>
    <w:rsid w:val="0081484F"/>
    <w:rsid w:val="008148FE"/>
    <w:rsid w:val="00814D78"/>
    <w:rsid w:val="00816A3D"/>
    <w:rsid w:val="0081734C"/>
    <w:rsid w:val="00817506"/>
    <w:rsid w:val="0082029A"/>
    <w:rsid w:val="00820BB0"/>
    <w:rsid w:val="008212A9"/>
    <w:rsid w:val="00821573"/>
    <w:rsid w:val="00821FB3"/>
    <w:rsid w:val="00822D58"/>
    <w:rsid w:val="0082317E"/>
    <w:rsid w:val="00823C06"/>
    <w:rsid w:val="008252BC"/>
    <w:rsid w:val="0082546F"/>
    <w:rsid w:val="00825AB3"/>
    <w:rsid w:val="00827110"/>
    <w:rsid w:val="008275B9"/>
    <w:rsid w:val="008318FD"/>
    <w:rsid w:val="00831B6F"/>
    <w:rsid w:val="00831D42"/>
    <w:rsid w:val="00832700"/>
    <w:rsid w:val="00832C60"/>
    <w:rsid w:val="008343B3"/>
    <w:rsid w:val="00834B17"/>
    <w:rsid w:val="00837CF4"/>
    <w:rsid w:val="008407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6A9A"/>
    <w:rsid w:val="008573EF"/>
    <w:rsid w:val="00857571"/>
    <w:rsid w:val="0086108F"/>
    <w:rsid w:val="0086125B"/>
    <w:rsid w:val="0086208A"/>
    <w:rsid w:val="00863197"/>
    <w:rsid w:val="00863727"/>
    <w:rsid w:val="00863975"/>
    <w:rsid w:val="00863B00"/>
    <w:rsid w:val="00865553"/>
    <w:rsid w:val="0086641F"/>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4572"/>
    <w:rsid w:val="00885621"/>
    <w:rsid w:val="00886375"/>
    <w:rsid w:val="00886651"/>
    <w:rsid w:val="00887A69"/>
    <w:rsid w:val="008904E6"/>
    <w:rsid w:val="008910FD"/>
    <w:rsid w:val="008915BA"/>
    <w:rsid w:val="0089195A"/>
    <w:rsid w:val="00892599"/>
    <w:rsid w:val="00892730"/>
    <w:rsid w:val="0089331F"/>
    <w:rsid w:val="008939EE"/>
    <w:rsid w:val="008943E4"/>
    <w:rsid w:val="00894430"/>
    <w:rsid w:val="008950AF"/>
    <w:rsid w:val="00895120"/>
    <w:rsid w:val="008952C7"/>
    <w:rsid w:val="00895F3E"/>
    <w:rsid w:val="0089644C"/>
    <w:rsid w:val="00897517"/>
    <w:rsid w:val="0089753A"/>
    <w:rsid w:val="00897982"/>
    <w:rsid w:val="008A1082"/>
    <w:rsid w:val="008A13B2"/>
    <w:rsid w:val="008A15B7"/>
    <w:rsid w:val="008A4388"/>
    <w:rsid w:val="008A56CA"/>
    <w:rsid w:val="008A58B2"/>
    <w:rsid w:val="008A619E"/>
    <w:rsid w:val="008A629E"/>
    <w:rsid w:val="008A75AE"/>
    <w:rsid w:val="008B08A9"/>
    <w:rsid w:val="008B0C26"/>
    <w:rsid w:val="008B103A"/>
    <w:rsid w:val="008B2510"/>
    <w:rsid w:val="008B2773"/>
    <w:rsid w:val="008B4F47"/>
    <w:rsid w:val="008B5247"/>
    <w:rsid w:val="008B585F"/>
    <w:rsid w:val="008B5BDB"/>
    <w:rsid w:val="008C0765"/>
    <w:rsid w:val="008C3462"/>
    <w:rsid w:val="008C3483"/>
    <w:rsid w:val="008C3A95"/>
    <w:rsid w:val="008C3E28"/>
    <w:rsid w:val="008C3EEE"/>
    <w:rsid w:val="008C40F8"/>
    <w:rsid w:val="008C4123"/>
    <w:rsid w:val="008C4A62"/>
    <w:rsid w:val="008C5483"/>
    <w:rsid w:val="008C5FD3"/>
    <w:rsid w:val="008C62A0"/>
    <w:rsid w:val="008D0462"/>
    <w:rsid w:val="008D071D"/>
    <w:rsid w:val="008D07B1"/>
    <w:rsid w:val="008D1771"/>
    <w:rsid w:val="008D2920"/>
    <w:rsid w:val="008D2933"/>
    <w:rsid w:val="008D2FBA"/>
    <w:rsid w:val="008D319D"/>
    <w:rsid w:val="008D3942"/>
    <w:rsid w:val="008D39EA"/>
    <w:rsid w:val="008D3BAE"/>
    <w:rsid w:val="008D4926"/>
    <w:rsid w:val="008D4F88"/>
    <w:rsid w:val="008D58AF"/>
    <w:rsid w:val="008D6405"/>
    <w:rsid w:val="008D7EA4"/>
    <w:rsid w:val="008E1A76"/>
    <w:rsid w:val="008E1CE1"/>
    <w:rsid w:val="008E1F48"/>
    <w:rsid w:val="008E21D8"/>
    <w:rsid w:val="008E4294"/>
    <w:rsid w:val="008E523B"/>
    <w:rsid w:val="008E5CB4"/>
    <w:rsid w:val="008E6320"/>
    <w:rsid w:val="008E6BD2"/>
    <w:rsid w:val="008E6F4A"/>
    <w:rsid w:val="008F025F"/>
    <w:rsid w:val="008F124F"/>
    <w:rsid w:val="008F20DC"/>
    <w:rsid w:val="008F3403"/>
    <w:rsid w:val="008F3ACA"/>
    <w:rsid w:val="008F429C"/>
    <w:rsid w:val="008F56F3"/>
    <w:rsid w:val="008F68B6"/>
    <w:rsid w:val="008F7694"/>
    <w:rsid w:val="008F7D27"/>
    <w:rsid w:val="00900480"/>
    <w:rsid w:val="009018BE"/>
    <w:rsid w:val="00901E54"/>
    <w:rsid w:val="009025B0"/>
    <w:rsid w:val="00902A8A"/>
    <w:rsid w:val="009033F8"/>
    <w:rsid w:val="0090411C"/>
    <w:rsid w:val="00904657"/>
    <w:rsid w:val="00904896"/>
    <w:rsid w:val="00904A92"/>
    <w:rsid w:val="00905376"/>
    <w:rsid w:val="0090583F"/>
    <w:rsid w:val="0090706F"/>
    <w:rsid w:val="009072BA"/>
    <w:rsid w:val="00911813"/>
    <w:rsid w:val="00911B84"/>
    <w:rsid w:val="0091329F"/>
    <w:rsid w:val="009138C5"/>
    <w:rsid w:val="00913AA5"/>
    <w:rsid w:val="00913E45"/>
    <w:rsid w:val="009140DB"/>
    <w:rsid w:val="0091425C"/>
    <w:rsid w:val="00914A92"/>
    <w:rsid w:val="009174E4"/>
    <w:rsid w:val="00922B69"/>
    <w:rsid w:val="00923276"/>
    <w:rsid w:val="009232C7"/>
    <w:rsid w:val="0092361F"/>
    <w:rsid w:val="00925885"/>
    <w:rsid w:val="0092759A"/>
    <w:rsid w:val="00927D34"/>
    <w:rsid w:val="0093181C"/>
    <w:rsid w:val="009344CE"/>
    <w:rsid w:val="009349DC"/>
    <w:rsid w:val="009353BF"/>
    <w:rsid w:val="00936884"/>
    <w:rsid w:val="00937DDD"/>
    <w:rsid w:val="00937EA6"/>
    <w:rsid w:val="009401ED"/>
    <w:rsid w:val="00941A22"/>
    <w:rsid w:val="00941ED8"/>
    <w:rsid w:val="0094303A"/>
    <w:rsid w:val="009454B2"/>
    <w:rsid w:val="00945A72"/>
    <w:rsid w:val="0094607B"/>
    <w:rsid w:val="009461F6"/>
    <w:rsid w:val="00946768"/>
    <w:rsid w:val="009467EF"/>
    <w:rsid w:val="00946965"/>
    <w:rsid w:val="00946C6B"/>
    <w:rsid w:val="009479E8"/>
    <w:rsid w:val="009518C7"/>
    <w:rsid w:val="009531F9"/>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F0A"/>
    <w:rsid w:val="00974F8E"/>
    <w:rsid w:val="00974FC1"/>
    <w:rsid w:val="00975079"/>
    <w:rsid w:val="009755B9"/>
    <w:rsid w:val="009766C0"/>
    <w:rsid w:val="00976B00"/>
    <w:rsid w:val="00976B73"/>
    <w:rsid w:val="00977346"/>
    <w:rsid w:val="009826B2"/>
    <w:rsid w:val="0098378B"/>
    <w:rsid w:val="00983CD0"/>
    <w:rsid w:val="009858BF"/>
    <w:rsid w:val="009867F7"/>
    <w:rsid w:val="0099093C"/>
    <w:rsid w:val="0099219C"/>
    <w:rsid w:val="00992576"/>
    <w:rsid w:val="00992A92"/>
    <w:rsid w:val="0099343E"/>
    <w:rsid w:val="009939ED"/>
    <w:rsid w:val="009947C7"/>
    <w:rsid w:val="0099510D"/>
    <w:rsid w:val="00995E70"/>
    <w:rsid w:val="00996823"/>
    <w:rsid w:val="00996855"/>
    <w:rsid w:val="00997EC4"/>
    <w:rsid w:val="009A29DE"/>
    <w:rsid w:val="009A2F0F"/>
    <w:rsid w:val="009A308C"/>
    <w:rsid w:val="009A633D"/>
    <w:rsid w:val="009A6849"/>
    <w:rsid w:val="009B1DB4"/>
    <w:rsid w:val="009B23D9"/>
    <w:rsid w:val="009B3738"/>
    <w:rsid w:val="009B5005"/>
    <w:rsid w:val="009B5F3E"/>
    <w:rsid w:val="009B69AC"/>
    <w:rsid w:val="009B7903"/>
    <w:rsid w:val="009B79FA"/>
    <w:rsid w:val="009C0AAB"/>
    <w:rsid w:val="009C12B7"/>
    <w:rsid w:val="009C1650"/>
    <w:rsid w:val="009C1A47"/>
    <w:rsid w:val="009C1AC8"/>
    <w:rsid w:val="009C33B3"/>
    <w:rsid w:val="009C35CD"/>
    <w:rsid w:val="009C42B7"/>
    <w:rsid w:val="009C437E"/>
    <w:rsid w:val="009C567D"/>
    <w:rsid w:val="009C5A64"/>
    <w:rsid w:val="009C6306"/>
    <w:rsid w:val="009C635E"/>
    <w:rsid w:val="009C6801"/>
    <w:rsid w:val="009C6A89"/>
    <w:rsid w:val="009C6D9F"/>
    <w:rsid w:val="009C77A9"/>
    <w:rsid w:val="009D0643"/>
    <w:rsid w:val="009D07AE"/>
    <w:rsid w:val="009D17DA"/>
    <w:rsid w:val="009D190A"/>
    <w:rsid w:val="009D251F"/>
    <w:rsid w:val="009D292A"/>
    <w:rsid w:val="009D58B3"/>
    <w:rsid w:val="009D77B2"/>
    <w:rsid w:val="009E1108"/>
    <w:rsid w:val="009E1849"/>
    <w:rsid w:val="009E2909"/>
    <w:rsid w:val="009E3218"/>
    <w:rsid w:val="009E36C4"/>
    <w:rsid w:val="009E5668"/>
    <w:rsid w:val="009E64E7"/>
    <w:rsid w:val="009E68DC"/>
    <w:rsid w:val="009E6DB0"/>
    <w:rsid w:val="009F01E7"/>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21C1"/>
    <w:rsid w:val="00A024A1"/>
    <w:rsid w:val="00A03DA7"/>
    <w:rsid w:val="00A04812"/>
    <w:rsid w:val="00A04C36"/>
    <w:rsid w:val="00A05A21"/>
    <w:rsid w:val="00A05BE1"/>
    <w:rsid w:val="00A0643B"/>
    <w:rsid w:val="00A12625"/>
    <w:rsid w:val="00A12B69"/>
    <w:rsid w:val="00A13EF4"/>
    <w:rsid w:val="00A14091"/>
    <w:rsid w:val="00A15B53"/>
    <w:rsid w:val="00A15D9F"/>
    <w:rsid w:val="00A16210"/>
    <w:rsid w:val="00A17185"/>
    <w:rsid w:val="00A17B0F"/>
    <w:rsid w:val="00A20460"/>
    <w:rsid w:val="00A21661"/>
    <w:rsid w:val="00A2179F"/>
    <w:rsid w:val="00A21C08"/>
    <w:rsid w:val="00A21DFC"/>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8D6"/>
    <w:rsid w:val="00A34E4D"/>
    <w:rsid w:val="00A3640B"/>
    <w:rsid w:val="00A37797"/>
    <w:rsid w:val="00A40CCA"/>
    <w:rsid w:val="00A4107C"/>
    <w:rsid w:val="00A414B0"/>
    <w:rsid w:val="00A414D0"/>
    <w:rsid w:val="00A416DA"/>
    <w:rsid w:val="00A42407"/>
    <w:rsid w:val="00A42683"/>
    <w:rsid w:val="00A433FE"/>
    <w:rsid w:val="00A43A10"/>
    <w:rsid w:val="00A44493"/>
    <w:rsid w:val="00A451F1"/>
    <w:rsid w:val="00A452D9"/>
    <w:rsid w:val="00A4551C"/>
    <w:rsid w:val="00A45AA2"/>
    <w:rsid w:val="00A4605F"/>
    <w:rsid w:val="00A47903"/>
    <w:rsid w:val="00A47C9F"/>
    <w:rsid w:val="00A5015B"/>
    <w:rsid w:val="00A509E5"/>
    <w:rsid w:val="00A537CD"/>
    <w:rsid w:val="00A54ACC"/>
    <w:rsid w:val="00A55AA8"/>
    <w:rsid w:val="00A5775F"/>
    <w:rsid w:val="00A57911"/>
    <w:rsid w:val="00A60896"/>
    <w:rsid w:val="00A60B63"/>
    <w:rsid w:val="00A612A2"/>
    <w:rsid w:val="00A61E1C"/>
    <w:rsid w:val="00A61E9F"/>
    <w:rsid w:val="00A636C4"/>
    <w:rsid w:val="00A640BF"/>
    <w:rsid w:val="00A64362"/>
    <w:rsid w:val="00A64A82"/>
    <w:rsid w:val="00A64E48"/>
    <w:rsid w:val="00A65405"/>
    <w:rsid w:val="00A657D6"/>
    <w:rsid w:val="00A66828"/>
    <w:rsid w:val="00A702B0"/>
    <w:rsid w:val="00A705D0"/>
    <w:rsid w:val="00A708B7"/>
    <w:rsid w:val="00A71173"/>
    <w:rsid w:val="00A71B7F"/>
    <w:rsid w:val="00A726A3"/>
    <w:rsid w:val="00A72EC4"/>
    <w:rsid w:val="00A72F6D"/>
    <w:rsid w:val="00A72F90"/>
    <w:rsid w:val="00A7322C"/>
    <w:rsid w:val="00A7518F"/>
    <w:rsid w:val="00A7537A"/>
    <w:rsid w:val="00A7546F"/>
    <w:rsid w:val="00A756DC"/>
    <w:rsid w:val="00A75879"/>
    <w:rsid w:val="00A76DDB"/>
    <w:rsid w:val="00A772AC"/>
    <w:rsid w:val="00A801AA"/>
    <w:rsid w:val="00A80A29"/>
    <w:rsid w:val="00A80E15"/>
    <w:rsid w:val="00A81A56"/>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3627"/>
    <w:rsid w:val="00AB3E86"/>
    <w:rsid w:val="00AB4205"/>
    <w:rsid w:val="00AB4672"/>
    <w:rsid w:val="00AB4688"/>
    <w:rsid w:val="00AB5B24"/>
    <w:rsid w:val="00AB5DE8"/>
    <w:rsid w:val="00AB5FEB"/>
    <w:rsid w:val="00AB60C8"/>
    <w:rsid w:val="00AB7629"/>
    <w:rsid w:val="00AC0F28"/>
    <w:rsid w:val="00AC1037"/>
    <w:rsid w:val="00AC148D"/>
    <w:rsid w:val="00AC3712"/>
    <w:rsid w:val="00AC37B1"/>
    <w:rsid w:val="00AC3869"/>
    <w:rsid w:val="00AC4098"/>
    <w:rsid w:val="00AC43D6"/>
    <w:rsid w:val="00AC4C5C"/>
    <w:rsid w:val="00AC5DDA"/>
    <w:rsid w:val="00AC6031"/>
    <w:rsid w:val="00AC6DB0"/>
    <w:rsid w:val="00AC7518"/>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70B"/>
    <w:rsid w:val="00AE6D5D"/>
    <w:rsid w:val="00AE7D95"/>
    <w:rsid w:val="00AF02C1"/>
    <w:rsid w:val="00AF0742"/>
    <w:rsid w:val="00AF077F"/>
    <w:rsid w:val="00AF1677"/>
    <w:rsid w:val="00AF1689"/>
    <w:rsid w:val="00AF1FAF"/>
    <w:rsid w:val="00AF2E78"/>
    <w:rsid w:val="00AF42C7"/>
    <w:rsid w:val="00AF5718"/>
    <w:rsid w:val="00AF5A3C"/>
    <w:rsid w:val="00AF5A7C"/>
    <w:rsid w:val="00AF5AD5"/>
    <w:rsid w:val="00AF6025"/>
    <w:rsid w:val="00AF6740"/>
    <w:rsid w:val="00AF6BB8"/>
    <w:rsid w:val="00AF701D"/>
    <w:rsid w:val="00B002E2"/>
    <w:rsid w:val="00B0083C"/>
    <w:rsid w:val="00B01111"/>
    <w:rsid w:val="00B01167"/>
    <w:rsid w:val="00B01AFB"/>
    <w:rsid w:val="00B01BDC"/>
    <w:rsid w:val="00B02035"/>
    <w:rsid w:val="00B02A2B"/>
    <w:rsid w:val="00B03248"/>
    <w:rsid w:val="00B06601"/>
    <w:rsid w:val="00B07F6F"/>
    <w:rsid w:val="00B1092E"/>
    <w:rsid w:val="00B110A7"/>
    <w:rsid w:val="00B1163B"/>
    <w:rsid w:val="00B130E2"/>
    <w:rsid w:val="00B14D41"/>
    <w:rsid w:val="00B151DF"/>
    <w:rsid w:val="00B20113"/>
    <w:rsid w:val="00B2065B"/>
    <w:rsid w:val="00B207AD"/>
    <w:rsid w:val="00B2098B"/>
    <w:rsid w:val="00B21D79"/>
    <w:rsid w:val="00B21DEA"/>
    <w:rsid w:val="00B21F74"/>
    <w:rsid w:val="00B23107"/>
    <w:rsid w:val="00B23359"/>
    <w:rsid w:val="00B249D2"/>
    <w:rsid w:val="00B2505F"/>
    <w:rsid w:val="00B25098"/>
    <w:rsid w:val="00B2697F"/>
    <w:rsid w:val="00B27335"/>
    <w:rsid w:val="00B27F2B"/>
    <w:rsid w:val="00B300F8"/>
    <w:rsid w:val="00B3067B"/>
    <w:rsid w:val="00B3079D"/>
    <w:rsid w:val="00B3094E"/>
    <w:rsid w:val="00B3154A"/>
    <w:rsid w:val="00B31AC8"/>
    <w:rsid w:val="00B330F6"/>
    <w:rsid w:val="00B34203"/>
    <w:rsid w:val="00B34572"/>
    <w:rsid w:val="00B348F7"/>
    <w:rsid w:val="00B34BA2"/>
    <w:rsid w:val="00B3507F"/>
    <w:rsid w:val="00B37253"/>
    <w:rsid w:val="00B406E9"/>
    <w:rsid w:val="00B412F7"/>
    <w:rsid w:val="00B424DF"/>
    <w:rsid w:val="00B433F4"/>
    <w:rsid w:val="00B43AB6"/>
    <w:rsid w:val="00B43D31"/>
    <w:rsid w:val="00B43F38"/>
    <w:rsid w:val="00B441B2"/>
    <w:rsid w:val="00B443C5"/>
    <w:rsid w:val="00B4513B"/>
    <w:rsid w:val="00B451BC"/>
    <w:rsid w:val="00B463FE"/>
    <w:rsid w:val="00B4754B"/>
    <w:rsid w:val="00B476AA"/>
    <w:rsid w:val="00B50265"/>
    <w:rsid w:val="00B50BAC"/>
    <w:rsid w:val="00B5107D"/>
    <w:rsid w:val="00B51284"/>
    <w:rsid w:val="00B519C5"/>
    <w:rsid w:val="00B531C3"/>
    <w:rsid w:val="00B53A07"/>
    <w:rsid w:val="00B5466F"/>
    <w:rsid w:val="00B55126"/>
    <w:rsid w:val="00B551DA"/>
    <w:rsid w:val="00B5533E"/>
    <w:rsid w:val="00B555CA"/>
    <w:rsid w:val="00B55B05"/>
    <w:rsid w:val="00B573C7"/>
    <w:rsid w:val="00B577C5"/>
    <w:rsid w:val="00B60A6F"/>
    <w:rsid w:val="00B60E4F"/>
    <w:rsid w:val="00B61197"/>
    <w:rsid w:val="00B6175A"/>
    <w:rsid w:val="00B62C0C"/>
    <w:rsid w:val="00B62C59"/>
    <w:rsid w:val="00B62CFD"/>
    <w:rsid w:val="00B64334"/>
    <w:rsid w:val="00B6584F"/>
    <w:rsid w:val="00B65F94"/>
    <w:rsid w:val="00B66498"/>
    <w:rsid w:val="00B67D26"/>
    <w:rsid w:val="00B71734"/>
    <w:rsid w:val="00B71859"/>
    <w:rsid w:val="00B733AC"/>
    <w:rsid w:val="00B742A1"/>
    <w:rsid w:val="00B754DE"/>
    <w:rsid w:val="00B76806"/>
    <w:rsid w:val="00B84014"/>
    <w:rsid w:val="00B84A70"/>
    <w:rsid w:val="00B84DE6"/>
    <w:rsid w:val="00B864F5"/>
    <w:rsid w:val="00B86DE2"/>
    <w:rsid w:val="00B87D27"/>
    <w:rsid w:val="00B87EC7"/>
    <w:rsid w:val="00B9038A"/>
    <w:rsid w:val="00B90B19"/>
    <w:rsid w:val="00B91592"/>
    <w:rsid w:val="00B91EC8"/>
    <w:rsid w:val="00B935DF"/>
    <w:rsid w:val="00B93A32"/>
    <w:rsid w:val="00B94686"/>
    <w:rsid w:val="00B94850"/>
    <w:rsid w:val="00B94F21"/>
    <w:rsid w:val="00B96A91"/>
    <w:rsid w:val="00B9786C"/>
    <w:rsid w:val="00B97E68"/>
    <w:rsid w:val="00B97FA5"/>
    <w:rsid w:val="00BA11CB"/>
    <w:rsid w:val="00BA17C8"/>
    <w:rsid w:val="00BA201F"/>
    <w:rsid w:val="00BA2547"/>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238"/>
    <w:rsid w:val="00BB7976"/>
    <w:rsid w:val="00BC2066"/>
    <w:rsid w:val="00BC39C9"/>
    <w:rsid w:val="00BC4A60"/>
    <w:rsid w:val="00BC4FE0"/>
    <w:rsid w:val="00BC504B"/>
    <w:rsid w:val="00BC53E8"/>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3A4"/>
    <w:rsid w:val="00BE1695"/>
    <w:rsid w:val="00BE2231"/>
    <w:rsid w:val="00BE27F0"/>
    <w:rsid w:val="00BE302C"/>
    <w:rsid w:val="00BE346E"/>
    <w:rsid w:val="00BE38CE"/>
    <w:rsid w:val="00BE5250"/>
    <w:rsid w:val="00BE5E4E"/>
    <w:rsid w:val="00BE6DA8"/>
    <w:rsid w:val="00BE72F1"/>
    <w:rsid w:val="00BF006D"/>
    <w:rsid w:val="00BF024A"/>
    <w:rsid w:val="00BF17AB"/>
    <w:rsid w:val="00BF1E4F"/>
    <w:rsid w:val="00BF208F"/>
    <w:rsid w:val="00BF2D66"/>
    <w:rsid w:val="00BF2D96"/>
    <w:rsid w:val="00BF2DE0"/>
    <w:rsid w:val="00BF333C"/>
    <w:rsid w:val="00BF33D7"/>
    <w:rsid w:val="00BF43F7"/>
    <w:rsid w:val="00BF5694"/>
    <w:rsid w:val="00BF7191"/>
    <w:rsid w:val="00BF7CA2"/>
    <w:rsid w:val="00C019AD"/>
    <w:rsid w:val="00C01A9E"/>
    <w:rsid w:val="00C01E44"/>
    <w:rsid w:val="00C02F78"/>
    <w:rsid w:val="00C04988"/>
    <w:rsid w:val="00C056A2"/>
    <w:rsid w:val="00C05CAA"/>
    <w:rsid w:val="00C0766D"/>
    <w:rsid w:val="00C07826"/>
    <w:rsid w:val="00C07BAF"/>
    <w:rsid w:val="00C1000A"/>
    <w:rsid w:val="00C10AAA"/>
    <w:rsid w:val="00C114FD"/>
    <w:rsid w:val="00C13112"/>
    <w:rsid w:val="00C16692"/>
    <w:rsid w:val="00C16DDF"/>
    <w:rsid w:val="00C20646"/>
    <w:rsid w:val="00C20703"/>
    <w:rsid w:val="00C20EA2"/>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2A66"/>
    <w:rsid w:val="00C62B13"/>
    <w:rsid w:val="00C62D76"/>
    <w:rsid w:val="00C66DD2"/>
    <w:rsid w:val="00C67E8A"/>
    <w:rsid w:val="00C7065F"/>
    <w:rsid w:val="00C71427"/>
    <w:rsid w:val="00C72447"/>
    <w:rsid w:val="00C7320D"/>
    <w:rsid w:val="00C7324B"/>
    <w:rsid w:val="00C739EC"/>
    <w:rsid w:val="00C73EF9"/>
    <w:rsid w:val="00C741B9"/>
    <w:rsid w:val="00C749B2"/>
    <w:rsid w:val="00C7570F"/>
    <w:rsid w:val="00C7573E"/>
    <w:rsid w:val="00C764E1"/>
    <w:rsid w:val="00C76D5C"/>
    <w:rsid w:val="00C76FCC"/>
    <w:rsid w:val="00C77098"/>
    <w:rsid w:val="00C8261B"/>
    <w:rsid w:val="00C83CCB"/>
    <w:rsid w:val="00C840EB"/>
    <w:rsid w:val="00C84110"/>
    <w:rsid w:val="00C8425A"/>
    <w:rsid w:val="00C84F8C"/>
    <w:rsid w:val="00C85BF7"/>
    <w:rsid w:val="00C86D29"/>
    <w:rsid w:val="00C87498"/>
    <w:rsid w:val="00C90BA8"/>
    <w:rsid w:val="00C92344"/>
    <w:rsid w:val="00C92431"/>
    <w:rsid w:val="00C9248C"/>
    <w:rsid w:val="00C92A3A"/>
    <w:rsid w:val="00C93BAD"/>
    <w:rsid w:val="00C94B6B"/>
    <w:rsid w:val="00C94C32"/>
    <w:rsid w:val="00C9621C"/>
    <w:rsid w:val="00C97182"/>
    <w:rsid w:val="00C978C3"/>
    <w:rsid w:val="00CA23C3"/>
    <w:rsid w:val="00CA295E"/>
    <w:rsid w:val="00CA296D"/>
    <w:rsid w:val="00CA2E38"/>
    <w:rsid w:val="00CA3044"/>
    <w:rsid w:val="00CA4392"/>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3E3A"/>
    <w:rsid w:val="00CC5191"/>
    <w:rsid w:val="00CC61D1"/>
    <w:rsid w:val="00CC6E65"/>
    <w:rsid w:val="00CC7E3E"/>
    <w:rsid w:val="00CD01B5"/>
    <w:rsid w:val="00CD0372"/>
    <w:rsid w:val="00CD0F30"/>
    <w:rsid w:val="00CD125A"/>
    <w:rsid w:val="00CD148C"/>
    <w:rsid w:val="00CD2F6F"/>
    <w:rsid w:val="00CD4609"/>
    <w:rsid w:val="00CD5B2D"/>
    <w:rsid w:val="00CD67CA"/>
    <w:rsid w:val="00CE001B"/>
    <w:rsid w:val="00CE0D03"/>
    <w:rsid w:val="00CE1617"/>
    <w:rsid w:val="00CE1C00"/>
    <w:rsid w:val="00CE1F3D"/>
    <w:rsid w:val="00CE4680"/>
    <w:rsid w:val="00CE591C"/>
    <w:rsid w:val="00CE6ABD"/>
    <w:rsid w:val="00CE6D76"/>
    <w:rsid w:val="00CF03C9"/>
    <w:rsid w:val="00CF0990"/>
    <w:rsid w:val="00CF14E4"/>
    <w:rsid w:val="00CF1AD6"/>
    <w:rsid w:val="00CF1BB0"/>
    <w:rsid w:val="00CF2681"/>
    <w:rsid w:val="00CF280E"/>
    <w:rsid w:val="00CF28FD"/>
    <w:rsid w:val="00CF321F"/>
    <w:rsid w:val="00CF35E0"/>
    <w:rsid w:val="00CF3873"/>
    <w:rsid w:val="00CF505D"/>
    <w:rsid w:val="00CF5194"/>
    <w:rsid w:val="00CF5D1A"/>
    <w:rsid w:val="00CF5DBF"/>
    <w:rsid w:val="00CF7670"/>
    <w:rsid w:val="00CF7B18"/>
    <w:rsid w:val="00D0049D"/>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20DD"/>
    <w:rsid w:val="00D432DC"/>
    <w:rsid w:val="00D43B2B"/>
    <w:rsid w:val="00D43EC0"/>
    <w:rsid w:val="00D44736"/>
    <w:rsid w:val="00D45822"/>
    <w:rsid w:val="00D46A14"/>
    <w:rsid w:val="00D46DD5"/>
    <w:rsid w:val="00D472D6"/>
    <w:rsid w:val="00D474CE"/>
    <w:rsid w:val="00D502C5"/>
    <w:rsid w:val="00D5133B"/>
    <w:rsid w:val="00D51E4D"/>
    <w:rsid w:val="00D51E8E"/>
    <w:rsid w:val="00D522EA"/>
    <w:rsid w:val="00D52729"/>
    <w:rsid w:val="00D5382D"/>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7B7"/>
    <w:rsid w:val="00D677F0"/>
    <w:rsid w:val="00D67D53"/>
    <w:rsid w:val="00D67DC1"/>
    <w:rsid w:val="00D7115B"/>
    <w:rsid w:val="00D7167F"/>
    <w:rsid w:val="00D72B03"/>
    <w:rsid w:val="00D75751"/>
    <w:rsid w:val="00D75CB1"/>
    <w:rsid w:val="00D768BD"/>
    <w:rsid w:val="00D7744C"/>
    <w:rsid w:val="00D77687"/>
    <w:rsid w:val="00D801EF"/>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F23"/>
    <w:rsid w:val="00D95D93"/>
    <w:rsid w:val="00D95EE4"/>
    <w:rsid w:val="00D962B6"/>
    <w:rsid w:val="00D963B2"/>
    <w:rsid w:val="00D96BD3"/>
    <w:rsid w:val="00D96D1B"/>
    <w:rsid w:val="00D9714A"/>
    <w:rsid w:val="00D97CBE"/>
    <w:rsid w:val="00DA0D61"/>
    <w:rsid w:val="00DA0F80"/>
    <w:rsid w:val="00DA2D5C"/>
    <w:rsid w:val="00DA4756"/>
    <w:rsid w:val="00DA4992"/>
    <w:rsid w:val="00DA4B81"/>
    <w:rsid w:val="00DA54FA"/>
    <w:rsid w:val="00DA59A3"/>
    <w:rsid w:val="00DB06C6"/>
    <w:rsid w:val="00DB188B"/>
    <w:rsid w:val="00DB1BFE"/>
    <w:rsid w:val="00DB23EC"/>
    <w:rsid w:val="00DB2934"/>
    <w:rsid w:val="00DB31A2"/>
    <w:rsid w:val="00DB360F"/>
    <w:rsid w:val="00DB39C9"/>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84C"/>
    <w:rsid w:val="00DC4D48"/>
    <w:rsid w:val="00DC5443"/>
    <w:rsid w:val="00DC5C38"/>
    <w:rsid w:val="00DC6C28"/>
    <w:rsid w:val="00DC6E4F"/>
    <w:rsid w:val="00DC79C8"/>
    <w:rsid w:val="00DC7A4F"/>
    <w:rsid w:val="00DD0259"/>
    <w:rsid w:val="00DD030C"/>
    <w:rsid w:val="00DD046A"/>
    <w:rsid w:val="00DD0A89"/>
    <w:rsid w:val="00DD12A5"/>
    <w:rsid w:val="00DD34AD"/>
    <w:rsid w:val="00DD3FD4"/>
    <w:rsid w:val="00DD58F5"/>
    <w:rsid w:val="00DD6A3D"/>
    <w:rsid w:val="00DE3733"/>
    <w:rsid w:val="00DE38EE"/>
    <w:rsid w:val="00DE42BC"/>
    <w:rsid w:val="00DE4D1C"/>
    <w:rsid w:val="00DE5425"/>
    <w:rsid w:val="00DE67F0"/>
    <w:rsid w:val="00DE710B"/>
    <w:rsid w:val="00DE731A"/>
    <w:rsid w:val="00DF059A"/>
    <w:rsid w:val="00DF07A3"/>
    <w:rsid w:val="00DF0A7C"/>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5938"/>
    <w:rsid w:val="00E05ACE"/>
    <w:rsid w:val="00E05D2E"/>
    <w:rsid w:val="00E06804"/>
    <w:rsid w:val="00E07D90"/>
    <w:rsid w:val="00E07D9B"/>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34F2"/>
    <w:rsid w:val="00E2415E"/>
    <w:rsid w:val="00E2481B"/>
    <w:rsid w:val="00E27978"/>
    <w:rsid w:val="00E27B5A"/>
    <w:rsid w:val="00E30039"/>
    <w:rsid w:val="00E30425"/>
    <w:rsid w:val="00E307D1"/>
    <w:rsid w:val="00E31335"/>
    <w:rsid w:val="00E32621"/>
    <w:rsid w:val="00E352E5"/>
    <w:rsid w:val="00E37769"/>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2775"/>
    <w:rsid w:val="00E53B18"/>
    <w:rsid w:val="00E56707"/>
    <w:rsid w:val="00E61AA5"/>
    <w:rsid w:val="00E61D46"/>
    <w:rsid w:val="00E6215E"/>
    <w:rsid w:val="00E63785"/>
    <w:rsid w:val="00E64291"/>
    <w:rsid w:val="00E643BF"/>
    <w:rsid w:val="00E64E50"/>
    <w:rsid w:val="00E65177"/>
    <w:rsid w:val="00E660D8"/>
    <w:rsid w:val="00E66C85"/>
    <w:rsid w:val="00E66EFC"/>
    <w:rsid w:val="00E71EF5"/>
    <w:rsid w:val="00E721DF"/>
    <w:rsid w:val="00E72C1D"/>
    <w:rsid w:val="00E735B7"/>
    <w:rsid w:val="00E7415A"/>
    <w:rsid w:val="00E74241"/>
    <w:rsid w:val="00E75092"/>
    <w:rsid w:val="00E75B35"/>
    <w:rsid w:val="00E76E60"/>
    <w:rsid w:val="00E77E5A"/>
    <w:rsid w:val="00E80318"/>
    <w:rsid w:val="00E81F75"/>
    <w:rsid w:val="00E82415"/>
    <w:rsid w:val="00E82DCB"/>
    <w:rsid w:val="00E836CE"/>
    <w:rsid w:val="00E874A7"/>
    <w:rsid w:val="00E87BB5"/>
    <w:rsid w:val="00E91B87"/>
    <w:rsid w:val="00E92763"/>
    <w:rsid w:val="00E93B6F"/>
    <w:rsid w:val="00E93BCF"/>
    <w:rsid w:val="00E9417F"/>
    <w:rsid w:val="00E95B48"/>
    <w:rsid w:val="00E960E0"/>
    <w:rsid w:val="00E97124"/>
    <w:rsid w:val="00EA0A21"/>
    <w:rsid w:val="00EA158B"/>
    <w:rsid w:val="00EA1A4B"/>
    <w:rsid w:val="00EA1AA1"/>
    <w:rsid w:val="00EA1E87"/>
    <w:rsid w:val="00EA328D"/>
    <w:rsid w:val="00EA3E5E"/>
    <w:rsid w:val="00EA44E9"/>
    <w:rsid w:val="00EA4B2C"/>
    <w:rsid w:val="00EA6022"/>
    <w:rsid w:val="00EA6C85"/>
    <w:rsid w:val="00EA78F6"/>
    <w:rsid w:val="00EA7E39"/>
    <w:rsid w:val="00EB009E"/>
    <w:rsid w:val="00EB0997"/>
    <w:rsid w:val="00EB3D4F"/>
    <w:rsid w:val="00EB43FE"/>
    <w:rsid w:val="00EB6380"/>
    <w:rsid w:val="00EB7409"/>
    <w:rsid w:val="00EB78AC"/>
    <w:rsid w:val="00EB7950"/>
    <w:rsid w:val="00EB7D0B"/>
    <w:rsid w:val="00EC121A"/>
    <w:rsid w:val="00EC1279"/>
    <w:rsid w:val="00EC12F0"/>
    <w:rsid w:val="00EC1DB9"/>
    <w:rsid w:val="00EC2674"/>
    <w:rsid w:val="00EC2698"/>
    <w:rsid w:val="00EC2CFD"/>
    <w:rsid w:val="00EC3015"/>
    <w:rsid w:val="00EC3E88"/>
    <w:rsid w:val="00EC45BC"/>
    <w:rsid w:val="00EC46C3"/>
    <w:rsid w:val="00EC4774"/>
    <w:rsid w:val="00EC5EF6"/>
    <w:rsid w:val="00EC6042"/>
    <w:rsid w:val="00EC669F"/>
    <w:rsid w:val="00EC7751"/>
    <w:rsid w:val="00ED05F6"/>
    <w:rsid w:val="00ED2410"/>
    <w:rsid w:val="00ED3ADF"/>
    <w:rsid w:val="00ED553C"/>
    <w:rsid w:val="00ED555E"/>
    <w:rsid w:val="00ED633A"/>
    <w:rsid w:val="00ED7610"/>
    <w:rsid w:val="00ED7758"/>
    <w:rsid w:val="00ED7877"/>
    <w:rsid w:val="00EE0840"/>
    <w:rsid w:val="00EE0DBB"/>
    <w:rsid w:val="00EE10F4"/>
    <w:rsid w:val="00EE1D10"/>
    <w:rsid w:val="00EE2FBF"/>
    <w:rsid w:val="00EE3513"/>
    <w:rsid w:val="00EE36DC"/>
    <w:rsid w:val="00EE6A7B"/>
    <w:rsid w:val="00EE711D"/>
    <w:rsid w:val="00EF03F6"/>
    <w:rsid w:val="00EF084A"/>
    <w:rsid w:val="00EF1052"/>
    <w:rsid w:val="00EF16D5"/>
    <w:rsid w:val="00EF1703"/>
    <w:rsid w:val="00EF3975"/>
    <w:rsid w:val="00EF3A0C"/>
    <w:rsid w:val="00EF3DB0"/>
    <w:rsid w:val="00EF472E"/>
    <w:rsid w:val="00EF4910"/>
    <w:rsid w:val="00EF4E11"/>
    <w:rsid w:val="00EF5178"/>
    <w:rsid w:val="00F013FE"/>
    <w:rsid w:val="00F01C6E"/>
    <w:rsid w:val="00F01F8E"/>
    <w:rsid w:val="00F0259C"/>
    <w:rsid w:val="00F0346B"/>
    <w:rsid w:val="00F03A97"/>
    <w:rsid w:val="00F03C65"/>
    <w:rsid w:val="00F045C2"/>
    <w:rsid w:val="00F0479D"/>
    <w:rsid w:val="00F05AAC"/>
    <w:rsid w:val="00F064B3"/>
    <w:rsid w:val="00F07525"/>
    <w:rsid w:val="00F07F9E"/>
    <w:rsid w:val="00F12D02"/>
    <w:rsid w:val="00F130E3"/>
    <w:rsid w:val="00F13EEE"/>
    <w:rsid w:val="00F14C02"/>
    <w:rsid w:val="00F156F2"/>
    <w:rsid w:val="00F202B9"/>
    <w:rsid w:val="00F208A7"/>
    <w:rsid w:val="00F22A6D"/>
    <w:rsid w:val="00F22AE9"/>
    <w:rsid w:val="00F23389"/>
    <w:rsid w:val="00F247E1"/>
    <w:rsid w:val="00F253F6"/>
    <w:rsid w:val="00F253FD"/>
    <w:rsid w:val="00F25DCF"/>
    <w:rsid w:val="00F25DF9"/>
    <w:rsid w:val="00F27AD7"/>
    <w:rsid w:val="00F3016C"/>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603C"/>
    <w:rsid w:val="00F47751"/>
    <w:rsid w:val="00F5077B"/>
    <w:rsid w:val="00F50D08"/>
    <w:rsid w:val="00F53648"/>
    <w:rsid w:val="00F5567F"/>
    <w:rsid w:val="00F56142"/>
    <w:rsid w:val="00F56CA7"/>
    <w:rsid w:val="00F57412"/>
    <w:rsid w:val="00F60E85"/>
    <w:rsid w:val="00F6142D"/>
    <w:rsid w:val="00F6226B"/>
    <w:rsid w:val="00F62354"/>
    <w:rsid w:val="00F62963"/>
    <w:rsid w:val="00F62C06"/>
    <w:rsid w:val="00F63779"/>
    <w:rsid w:val="00F63BDE"/>
    <w:rsid w:val="00F64573"/>
    <w:rsid w:val="00F64F15"/>
    <w:rsid w:val="00F6580A"/>
    <w:rsid w:val="00F663EF"/>
    <w:rsid w:val="00F70857"/>
    <w:rsid w:val="00F70B70"/>
    <w:rsid w:val="00F71010"/>
    <w:rsid w:val="00F71986"/>
    <w:rsid w:val="00F720F6"/>
    <w:rsid w:val="00F731E1"/>
    <w:rsid w:val="00F732FE"/>
    <w:rsid w:val="00F73E54"/>
    <w:rsid w:val="00F76AC1"/>
    <w:rsid w:val="00F76E00"/>
    <w:rsid w:val="00F76FD2"/>
    <w:rsid w:val="00F77010"/>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2C78"/>
    <w:rsid w:val="00F934C1"/>
    <w:rsid w:val="00F93F80"/>
    <w:rsid w:val="00F94694"/>
    <w:rsid w:val="00F94A6F"/>
    <w:rsid w:val="00F95226"/>
    <w:rsid w:val="00F96424"/>
    <w:rsid w:val="00F964FF"/>
    <w:rsid w:val="00F9796B"/>
    <w:rsid w:val="00F97F30"/>
    <w:rsid w:val="00FA03E0"/>
    <w:rsid w:val="00FA1F06"/>
    <w:rsid w:val="00FA23F7"/>
    <w:rsid w:val="00FA317D"/>
    <w:rsid w:val="00FA3372"/>
    <w:rsid w:val="00FA4E2D"/>
    <w:rsid w:val="00FA5CDA"/>
    <w:rsid w:val="00FA7701"/>
    <w:rsid w:val="00FB03A2"/>
    <w:rsid w:val="00FB04CD"/>
    <w:rsid w:val="00FB0889"/>
    <w:rsid w:val="00FB1776"/>
    <w:rsid w:val="00FB1943"/>
    <w:rsid w:val="00FB1E60"/>
    <w:rsid w:val="00FB2C5C"/>
    <w:rsid w:val="00FB3741"/>
    <w:rsid w:val="00FB5B35"/>
    <w:rsid w:val="00FB737F"/>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BC4"/>
    <w:rsid w:val="00FE1E3F"/>
    <w:rsid w:val="00FE208A"/>
    <w:rsid w:val="00FE289D"/>
    <w:rsid w:val="00FE2D20"/>
    <w:rsid w:val="00FE3914"/>
    <w:rsid w:val="00FE50E9"/>
    <w:rsid w:val="00FE68A8"/>
    <w:rsid w:val="00FE6DDB"/>
    <w:rsid w:val="00FE7F3F"/>
    <w:rsid w:val="00FF0090"/>
    <w:rsid w:val="00FF0857"/>
    <w:rsid w:val="00FF0A5B"/>
    <w:rsid w:val="00FF1535"/>
    <w:rsid w:val="00FF20B4"/>
    <w:rsid w:val="00FF3207"/>
    <w:rsid w:val="00FF33F5"/>
    <w:rsid w:val="00FF3B65"/>
    <w:rsid w:val="00FF3D5D"/>
    <w:rsid w:val="00FF4176"/>
    <w:rsid w:val="00FF55E0"/>
    <w:rsid w:val="00FF6BD0"/>
    <w:rsid w:val="00FF706A"/>
    <w:rsid w:val="011032C9"/>
    <w:rsid w:val="01365BC3"/>
    <w:rsid w:val="01477BCB"/>
    <w:rsid w:val="0165774F"/>
    <w:rsid w:val="01700C0C"/>
    <w:rsid w:val="017513A9"/>
    <w:rsid w:val="01B11E35"/>
    <w:rsid w:val="01C62B3E"/>
    <w:rsid w:val="028407B3"/>
    <w:rsid w:val="02F2197A"/>
    <w:rsid w:val="032338E1"/>
    <w:rsid w:val="03665B50"/>
    <w:rsid w:val="03885E3A"/>
    <w:rsid w:val="03C240DA"/>
    <w:rsid w:val="03C97621"/>
    <w:rsid w:val="03E62EB1"/>
    <w:rsid w:val="03EC63C9"/>
    <w:rsid w:val="0413149A"/>
    <w:rsid w:val="041D2A27"/>
    <w:rsid w:val="0422003D"/>
    <w:rsid w:val="042913CB"/>
    <w:rsid w:val="04FF7556"/>
    <w:rsid w:val="0512093A"/>
    <w:rsid w:val="052C5706"/>
    <w:rsid w:val="054E19A4"/>
    <w:rsid w:val="05771562"/>
    <w:rsid w:val="05826495"/>
    <w:rsid w:val="05852CF4"/>
    <w:rsid w:val="05927A85"/>
    <w:rsid w:val="05CD5A09"/>
    <w:rsid w:val="060F639F"/>
    <w:rsid w:val="066E7569"/>
    <w:rsid w:val="06710E08"/>
    <w:rsid w:val="06B37672"/>
    <w:rsid w:val="078D1C71"/>
    <w:rsid w:val="078F3BF1"/>
    <w:rsid w:val="07A87B3A"/>
    <w:rsid w:val="08093860"/>
    <w:rsid w:val="080E26A1"/>
    <w:rsid w:val="088C088F"/>
    <w:rsid w:val="096961E0"/>
    <w:rsid w:val="09C1409A"/>
    <w:rsid w:val="09F3668D"/>
    <w:rsid w:val="0A743D85"/>
    <w:rsid w:val="0A7E3AF3"/>
    <w:rsid w:val="0B6065BA"/>
    <w:rsid w:val="0B961C47"/>
    <w:rsid w:val="0BC07615"/>
    <w:rsid w:val="0BD55F69"/>
    <w:rsid w:val="0C152235"/>
    <w:rsid w:val="0C3B6140"/>
    <w:rsid w:val="0CD848B8"/>
    <w:rsid w:val="0D504342"/>
    <w:rsid w:val="0D870F11"/>
    <w:rsid w:val="0DB02216"/>
    <w:rsid w:val="0DC5128C"/>
    <w:rsid w:val="0DD9114E"/>
    <w:rsid w:val="0E0408E9"/>
    <w:rsid w:val="0E1664AC"/>
    <w:rsid w:val="0E1C525D"/>
    <w:rsid w:val="0E260891"/>
    <w:rsid w:val="0E2B2C0F"/>
    <w:rsid w:val="0E725164"/>
    <w:rsid w:val="0EFE4AC2"/>
    <w:rsid w:val="0F2F6775"/>
    <w:rsid w:val="0F8C22AE"/>
    <w:rsid w:val="101F37A7"/>
    <w:rsid w:val="1057128B"/>
    <w:rsid w:val="105760C7"/>
    <w:rsid w:val="10761F70"/>
    <w:rsid w:val="10CD159B"/>
    <w:rsid w:val="10D02C05"/>
    <w:rsid w:val="10D34B99"/>
    <w:rsid w:val="110732FE"/>
    <w:rsid w:val="115B2DE0"/>
    <w:rsid w:val="11802A9D"/>
    <w:rsid w:val="11A27ED6"/>
    <w:rsid w:val="11D14F29"/>
    <w:rsid w:val="12606AD8"/>
    <w:rsid w:val="12A065D5"/>
    <w:rsid w:val="12AA7B7B"/>
    <w:rsid w:val="12B207DE"/>
    <w:rsid w:val="12C66037"/>
    <w:rsid w:val="12D91221"/>
    <w:rsid w:val="12EB5188"/>
    <w:rsid w:val="134C6EF1"/>
    <w:rsid w:val="13693592"/>
    <w:rsid w:val="137E6AE5"/>
    <w:rsid w:val="13C366E3"/>
    <w:rsid w:val="143F0797"/>
    <w:rsid w:val="1451773B"/>
    <w:rsid w:val="14730026"/>
    <w:rsid w:val="149418A3"/>
    <w:rsid w:val="14C0689A"/>
    <w:rsid w:val="14CB202B"/>
    <w:rsid w:val="14CD3A88"/>
    <w:rsid w:val="14E153AA"/>
    <w:rsid w:val="14EB5FBC"/>
    <w:rsid w:val="15702678"/>
    <w:rsid w:val="159113BF"/>
    <w:rsid w:val="15C538B4"/>
    <w:rsid w:val="160D6B52"/>
    <w:rsid w:val="161A6DC6"/>
    <w:rsid w:val="163F0643"/>
    <w:rsid w:val="16A26C6E"/>
    <w:rsid w:val="16C50244"/>
    <w:rsid w:val="16CF733A"/>
    <w:rsid w:val="172A2E7A"/>
    <w:rsid w:val="172C1744"/>
    <w:rsid w:val="17476AD5"/>
    <w:rsid w:val="176651A7"/>
    <w:rsid w:val="17B2302E"/>
    <w:rsid w:val="17B23574"/>
    <w:rsid w:val="18345ABA"/>
    <w:rsid w:val="1851727E"/>
    <w:rsid w:val="186A5405"/>
    <w:rsid w:val="18932E60"/>
    <w:rsid w:val="189645C0"/>
    <w:rsid w:val="18C82B09"/>
    <w:rsid w:val="18CF592A"/>
    <w:rsid w:val="18DA146E"/>
    <w:rsid w:val="18FB5139"/>
    <w:rsid w:val="192F2B88"/>
    <w:rsid w:val="194B16A1"/>
    <w:rsid w:val="19762565"/>
    <w:rsid w:val="19AF5A77"/>
    <w:rsid w:val="19B74463"/>
    <w:rsid w:val="19BC232B"/>
    <w:rsid w:val="1A4505F1"/>
    <w:rsid w:val="1A7E4FCF"/>
    <w:rsid w:val="1A8211B0"/>
    <w:rsid w:val="1A8A42CA"/>
    <w:rsid w:val="1AE46560"/>
    <w:rsid w:val="1B217338"/>
    <w:rsid w:val="1B2A593E"/>
    <w:rsid w:val="1B3D037C"/>
    <w:rsid w:val="1B4C36BB"/>
    <w:rsid w:val="1B5A5C6B"/>
    <w:rsid w:val="1BAB6C8D"/>
    <w:rsid w:val="1C591711"/>
    <w:rsid w:val="1C6F2165"/>
    <w:rsid w:val="1C7539D5"/>
    <w:rsid w:val="1C7F0946"/>
    <w:rsid w:val="1C93342E"/>
    <w:rsid w:val="1CBD1967"/>
    <w:rsid w:val="1D0936F0"/>
    <w:rsid w:val="1D126FDD"/>
    <w:rsid w:val="1D2F75FB"/>
    <w:rsid w:val="1D8B05A9"/>
    <w:rsid w:val="1DCA664E"/>
    <w:rsid w:val="1DEE0E67"/>
    <w:rsid w:val="1DF12B02"/>
    <w:rsid w:val="1E3F080B"/>
    <w:rsid w:val="1E450182"/>
    <w:rsid w:val="1E5D0198"/>
    <w:rsid w:val="1E642DF6"/>
    <w:rsid w:val="1E6D7BB6"/>
    <w:rsid w:val="1E7671A3"/>
    <w:rsid w:val="1EDA53E2"/>
    <w:rsid w:val="1EE07F7F"/>
    <w:rsid w:val="1F4F72C9"/>
    <w:rsid w:val="1F5327B5"/>
    <w:rsid w:val="1FA977BF"/>
    <w:rsid w:val="1FB47BA6"/>
    <w:rsid w:val="1FC3402A"/>
    <w:rsid w:val="1FE94A78"/>
    <w:rsid w:val="20083BF5"/>
    <w:rsid w:val="206E2E3C"/>
    <w:rsid w:val="20C95670"/>
    <w:rsid w:val="20D06740"/>
    <w:rsid w:val="20EF0E4F"/>
    <w:rsid w:val="20FB4104"/>
    <w:rsid w:val="21050673"/>
    <w:rsid w:val="213F215E"/>
    <w:rsid w:val="21493877"/>
    <w:rsid w:val="214F7FD4"/>
    <w:rsid w:val="216D6944"/>
    <w:rsid w:val="21725FEC"/>
    <w:rsid w:val="21EF2BF7"/>
    <w:rsid w:val="2217457B"/>
    <w:rsid w:val="22245171"/>
    <w:rsid w:val="22386288"/>
    <w:rsid w:val="22503C1D"/>
    <w:rsid w:val="227B3D94"/>
    <w:rsid w:val="227C521C"/>
    <w:rsid w:val="229B4DEB"/>
    <w:rsid w:val="22D402FC"/>
    <w:rsid w:val="230E43B2"/>
    <w:rsid w:val="234731C4"/>
    <w:rsid w:val="23574F07"/>
    <w:rsid w:val="23655BE7"/>
    <w:rsid w:val="23810484"/>
    <w:rsid w:val="239E5129"/>
    <w:rsid w:val="23E91A35"/>
    <w:rsid w:val="241067BA"/>
    <w:rsid w:val="24400E1F"/>
    <w:rsid w:val="246758CC"/>
    <w:rsid w:val="247D51DF"/>
    <w:rsid w:val="247E0175"/>
    <w:rsid w:val="248520D7"/>
    <w:rsid w:val="24CC7DDB"/>
    <w:rsid w:val="25461B93"/>
    <w:rsid w:val="25755DC7"/>
    <w:rsid w:val="257A1221"/>
    <w:rsid w:val="258F538D"/>
    <w:rsid w:val="2623640A"/>
    <w:rsid w:val="26441671"/>
    <w:rsid w:val="26755F3B"/>
    <w:rsid w:val="26855060"/>
    <w:rsid w:val="26A839AE"/>
    <w:rsid w:val="26E0484D"/>
    <w:rsid w:val="270D202F"/>
    <w:rsid w:val="27264850"/>
    <w:rsid w:val="27443528"/>
    <w:rsid w:val="27482DA8"/>
    <w:rsid w:val="27595274"/>
    <w:rsid w:val="280B0CBD"/>
    <w:rsid w:val="28174256"/>
    <w:rsid w:val="28312E15"/>
    <w:rsid w:val="283C1DD8"/>
    <w:rsid w:val="283F090E"/>
    <w:rsid w:val="28B40580"/>
    <w:rsid w:val="28E87C1A"/>
    <w:rsid w:val="29080D00"/>
    <w:rsid w:val="290C12E9"/>
    <w:rsid w:val="296A3769"/>
    <w:rsid w:val="299C7E10"/>
    <w:rsid w:val="299E15A9"/>
    <w:rsid w:val="29DB6899"/>
    <w:rsid w:val="2A0C4820"/>
    <w:rsid w:val="2A494F4A"/>
    <w:rsid w:val="2A510C9C"/>
    <w:rsid w:val="2A6C52BE"/>
    <w:rsid w:val="2A805769"/>
    <w:rsid w:val="2A831E2D"/>
    <w:rsid w:val="2A8E5C60"/>
    <w:rsid w:val="2ADA11FD"/>
    <w:rsid w:val="2AE03E77"/>
    <w:rsid w:val="2B02634F"/>
    <w:rsid w:val="2B4104F9"/>
    <w:rsid w:val="2B877A25"/>
    <w:rsid w:val="2BB03D3C"/>
    <w:rsid w:val="2BD05397"/>
    <w:rsid w:val="2C0734F1"/>
    <w:rsid w:val="2C1D6BD5"/>
    <w:rsid w:val="2C546A99"/>
    <w:rsid w:val="2C5D65F6"/>
    <w:rsid w:val="2CA44507"/>
    <w:rsid w:val="2CBB4208"/>
    <w:rsid w:val="2CC32C39"/>
    <w:rsid w:val="2CDC0F6F"/>
    <w:rsid w:val="2CE46631"/>
    <w:rsid w:val="2CFD7770"/>
    <w:rsid w:val="2D3A16A4"/>
    <w:rsid w:val="2D412345"/>
    <w:rsid w:val="2D606C10"/>
    <w:rsid w:val="2D6D5C07"/>
    <w:rsid w:val="2D7A3971"/>
    <w:rsid w:val="2D921A7D"/>
    <w:rsid w:val="2EB77450"/>
    <w:rsid w:val="2EB8264A"/>
    <w:rsid w:val="2EC90F31"/>
    <w:rsid w:val="2F155F21"/>
    <w:rsid w:val="2F914D18"/>
    <w:rsid w:val="2FA87B82"/>
    <w:rsid w:val="30143F05"/>
    <w:rsid w:val="30235B53"/>
    <w:rsid w:val="30F85AFE"/>
    <w:rsid w:val="3161102C"/>
    <w:rsid w:val="31996FDB"/>
    <w:rsid w:val="31F369F1"/>
    <w:rsid w:val="320A5AE8"/>
    <w:rsid w:val="321D7FAE"/>
    <w:rsid w:val="322643C9"/>
    <w:rsid w:val="32383A46"/>
    <w:rsid w:val="327C79C0"/>
    <w:rsid w:val="3296737C"/>
    <w:rsid w:val="32D84909"/>
    <w:rsid w:val="32DD31FD"/>
    <w:rsid w:val="33305A23"/>
    <w:rsid w:val="337A31A4"/>
    <w:rsid w:val="33842D58"/>
    <w:rsid w:val="33C2377D"/>
    <w:rsid w:val="33E6570C"/>
    <w:rsid w:val="33F14B85"/>
    <w:rsid w:val="34293A3F"/>
    <w:rsid w:val="347673CF"/>
    <w:rsid w:val="348E47AF"/>
    <w:rsid w:val="34DF325D"/>
    <w:rsid w:val="35444772"/>
    <w:rsid w:val="35586B6B"/>
    <w:rsid w:val="36297FEC"/>
    <w:rsid w:val="364C66D0"/>
    <w:rsid w:val="36566100"/>
    <w:rsid w:val="365F17D9"/>
    <w:rsid w:val="36723C5D"/>
    <w:rsid w:val="36806E56"/>
    <w:rsid w:val="369B388B"/>
    <w:rsid w:val="36B92929"/>
    <w:rsid w:val="36E763F9"/>
    <w:rsid w:val="36FA25D0"/>
    <w:rsid w:val="37321596"/>
    <w:rsid w:val="373331A0"/>
    <w:rsid w:val="3795459A"/>
    <w:rsid w:val="37A26B30"/>
    <w:rsid w:val="37EB1C29"/>
    <w:rsid w:val="384C2872"/>
    <w:rsid w:val="3947656F"/>
    <w:rsid w:val="39560B33"/>
    <w:rsid w:val="39657518"/>
    <w:rsid w:val="398840B5"/>
    <w:rsid w:val="39A8171C"/>
    <w:rsid w:val="39EA702F"/>
    <w:rsid w:val="3A58218D"/>
    <w:rsid w:val="3AB234E7"/>
    <w:rsid w:val="3ABA54C6"/>
    <w:rsid w:val="3ABF56FA"/>
    <w:rsid w:val="3AEE480D"/>
    <w:rsid w:val="3B1855C6"/>
    <w:rsid w:val="3B1E59BD"/>
    <w:rsid w:val="3B697E76"/>
    <w:rsid w:val="3BC57B8F"/>
    <w:rsid w:val="3BCA5316"/>
    <w:rsid w:val="3BE056F1"/>
    <w:rsid w:val="3BE159ED"/>
    <w:rsid w:val="3C1F7ED7"/>
    <w:rsid w:val="3C2B4FD9"/>
    <w:rsid w:val="3C4953F6"/>
    <w:rsid w:val="3C7A15FE"/>
    <w:rsid w:val="3C7A2F1B"/>
    <w:rsid w:val="3C9C54B2"/>
    <w:rsid w:val="3CA32384"/>
    <w:rsid w:val="3CB745C8"/>
    <w:rsid w:val="3CB75C8C"/>
    <w:rsid w:val="3CD842BA"/>
    <w:rsid w:val="3CED04E1"/>
    <w:rsid w:val="3D0122C9"/>
    <w:rsid w:val="3D0D6C88"/>
    <w:rsid w:val="3D154364"/>
    <w:rsid w:val="3D3922A2"/>
    <w:rsid w:val="3D734A47"/>
    <w:rsid w:val="3D92781D"/>
    <w:rsid w:val="3DAB77F5"/>
    <w:rsid w:val="3DB35BFB"/>
    <w:rsid w:val="3DCC2C13"/>
    <w:rsid w:val="3DE82198"/>
    <w:rsid w:val="3E2D1234"/>
    <w:rsid w:val="3E846C23"/>
    <w:rsid w:val="3E884A7C"/>
    <w:rsid w:val="3E913314"/>
    <w:rsid w:val="3EA07B02"/>
    <w:rsid w:val="3EAD0CC4"/>
    <w:rsid w:val="3EDE7167"/>
    <w:rsid w:val="3EE24986"/>
    <w:rsid w:val="3EE649B0"/>
    <w:rsid w:val="3EE919F7"/>
    <w:rsid w:val="3EFE4C27"/>
    <w:rsid w:val="3F3B0C9D"/>
    <w:rsid w:val="3FB37402"/>
    <w:rsid w:val="3FBB6674"/>
    <w:rsid w:val="3FDD1D9F"/>
    <w:rsid w:val="3FDF4001"/>
    <w:rsid w:val="3FF20EF0"/>
    <w:rsid w:val="3FF81C6C"/>
    <w:rsid w:val="40023ED6"/>
    <w:rsid w:val="409273C5"/>
    <w:rsid w:val="409A272E"/>
    <w:rsid w:val="40AB1B96"/>
    <w:rsid w:val="40AC57AD"/>
    <w:rsid w:val="40C95B0C"/>
    <w:rsid w:val="40DA0D7C"/>
    <w:rsid w:val="40E02836"/>
    <w:rsid w:val="4116259D"/>
    <w:rsid w:val="41305C04"/>
    <w:rsid w:val="41724CF5"/>
    <w:rsid w:val="417E62DB"/>
    <w:rsid w:val="418A2378"/>
    <w:rsid w:val="41E37EB6"/>
    <w:rsid w:val="42C86C2C"/>
    <w:rsid w:val="43422FC4"/>
    <w:rsid w:val="434B5F61"/>
    <w:rsid w:val="448D5F45"/>
    <w:rsid w:val="45092B28"/>
    <w:rsid w:val="451166B5"/>
    <w:rsid w:val="45325A24"/>
    <w:rsid w:val="45381387"/>
    <w:rsid w:val="45506CD4"/>
    <w:rsid w:val="45970786"/>
    <w:rsid w:val="45BE0526"/>
    <w:rsid w:val="45CC091B"/>
    <w:rsid w:val="45E76415"/>
    <w:rsid w:val="463D6035"/>
    <w:rsid w:val="46521F1E"/>
    <w:rsid w:val="46B00642"/>
    <w:rsid w:val="46B87BDD"/>
    <w:rsid w:val="46CC1167"/>
    <w:rsid w:val="46D5554A"/>
    <w:rsid w:val="46E850EA"/>
    <w:rsid w:val="46F94504"/>
    <w:rsid w:val="471A6376"/>
    <w:rsid w:val="476F2186"/>
    <w:rsid w:val="47C83729"/>
    <w:rsid w:val="47CD5DCA"/>
    <w:rsid w:val="47F807CD"/>
    <w:rsid w:val="47FB29A1"/>
    <w:rsid w:val="48472F17"/>
    <w:rsid w:val="484D39DA"/>
    <w:rsid w:val="48590EF7"/>
    <w:rsid w:val="48620222"/>
    <w:rsid w:val="48952302"/>
    <w:rsid w:val="48B06C95"/>
    <w:rsid w:val="48BD16AF"/>
    <w:rsid w:val="490C7D41"/>
    <w:rsid w:val="495649FA"/>
    <w:rsid w:val="4992013F"/>
    <w:rsid w:val="499A0506"/>
    <w:rsid w:val="49F11BF3"/>
    <w:rsid w:val="4A204B14"/>
    <w:rsid w:val="4A69067C"/>
    <w:rsid w:val="4AB12DCF"/>
    <w:rsid w:val="4AB40015"/>
    <w:rsid w:val="4AE31F58"/>
    <w:rsid w:val="4AE72885"/>
    <w:rsid w:val="4B054C48"/>
    <w:rsid w:val="4B0D3348"/>
    <w:rsid w:val="4B31189E"/>
    <w:rsid w:val="4B406CC7"/>
    <w:rsid w:val="4B475002"/>
    <w:rsid w:val="4B700C5B"/>
    <w:rsid w:val="4BA426B2"/>
    <w:rsid w:val="4C3A6061"/>
    <w:rsid w:val="4C71597A"/>
    <w:rsid w:val="4CB229E2"/>
    <w:rsid w:val="4CCE2CFE"/>
    <w:rsid w:val="4CEA0599"/>
    <w:rsid w:val="4D4C4DB0"/>
    <w:rsid w:val="4D690508"/>
    <w:rsid w:val="4D6E4D26"/>
    <w:rsid w:val="4DB43081"/>
    <w:rsid w:val="4DB52828"/>
    <w:rsid w:val="4DFB054F"/>
    <w:rsid w:val="4E002DD8"/>
    <w:rsid w:val="4E21448E"/>
    <w:rsid w:val="4E320F70"/>
    <w:rsid w:val="4E78156E"/>
    <w:rsid w:val="4EA40E15"/>
    <w:rsid w:val="4EC90CCF"/>
    <w:rsid w:val="4EE014EC"/>
    <w:rsid w:val="4EEA5B05"/>
    <w:rsid w:val="4F0D339E"/>
    <w:rsid w:val="4F2B6026"/>
    <w:rsid w:val="4F46700B"/>
    <w:rsid w:val="4F4A7C2E"/>
    <w:rsid w:val="4F6C1739"/>
    <w:rsid w:val="4F731595"/>
    <w:rsid w:val="4F7C445D"/>
    <w:rsid w:val="4FAA3D56"/>
    <w:rsid w:val="4FAC0CFF"/>
    <w:rsid w:val="4FB542D4"/>
    <w:rsid w:val="503F0BFC"/>
    <w:rsid w:val="504771A6"/>
    <w:rsid w:val="50916485"/>
    <w:rsid w:val="509A7021"/>
    <w:rsid w:val="50A63F9F"/>
    <w:rsid w:val="50CE4F4B"/>
    <w:rsid w:val="50FF32D2"/>
    <w:rsid w:val="51044A52"/>
    <w:rsid w:val="510B4369"/>
    <w:rsid w:val="51424ECF"/>
    <w:rsid w:val="51550EA9"/>
    <w:rsid w:val="517E39D7"/>
    <w:rsid w:val="519A542A"/>
    <w:rsid w:val="51CB6BEB"/>
    <w:rsid w:val="51CC1440"/>
    <w:rsid w:val="51CD4715"/>
    <w:rsid w:val="51EE06FB"/>
    <w:rsid w:val="52016BD2"/>
    <w:rsid w:val="52603BA0"/>
    <w:rsid w:val="52637C8C"/>
    <w:rsid w:val="526B5CD8"/>
    <w:rsid w:val="527B0E1B"/>
    <w:rsid w:val="52D47D21"/>
    <w:rsid w:val="52ED493F"/>
    <w:rsid w:val="533B499E"/>
    <w:rsid w:val="537230CA"/>
    <w:rsid w:val="53D6609D"/>
    <w:rsid w:val="53FC6ACE"/>
    <w:rsid w:val="54147B52"/>
    <w:rsid w:val="5422216D"/>
    <w:rsid w:val="54660E4D"/>
    <w:rsid w:val="5484665D"/>
    <w:rsid w:val="54B31642"/>
    <w:rsid w:val="54E95397"/>
    <w:rsid w:val="55733821"/>
    <w:rsid w:val="558D5808"/>
    <w:rsid w:val="558F5415"/>
    <w:rsid w:val="55961626"/>
    <w:rsid w:val="55B856D8"/>
    <w:rsid w:val="56073F6A"/>
    <w:rsid w:val="56215A85"/>
    <w:rsid w:val="564D060A"/>
    <w:rsid w:val="56BC5F12"/>
    <w:rsid w:val="56D95720"/>
    <w:rsid w:val="57155A40"/>
    <w:rsid w:val="575A2A2C"/>
    <w:rsid w:val="575C1CC8"/>
    <w:rsid w:val="5780763F"/>
    <w:rsid w:val="57B40121"/>
    <w:rsid w:val="580C532F"/>
    <w:rsid w:val="586A6BDB"/>
    <w:rsid w:val="586D2BCD"/>
    <w:rsid w:val="587961F1"/>
    <w:rsid w:val="58832326"/>
    <w:rsid w:val="58A957AC"/>
    <w:rsid w:val="58DF56BC"/>
    <w:rsid w:val="59386523"/>
    <w:rsid w:val="595B4CF8"/>
    <w:rsid w:val="596811C3"/>
    <w:rsid w:val="59A2740C"/>
    <w:rsid w:val="59B75A38"/>
    <w:rsid w:val="59BB08D8"/>
    <w:rsid w:val="59FB630A"/>
    <w:rsid w:val="5A160809"/>
    <w:rsid w:val="5A5D7CC7"/>
    <w:rsid w:val="5AB7186C"/>
    <w:rsid w:val="5AF133E1"/>
    <w:rsid w:val="5B016F0E"/>
    <w:rsid w:val="5C0E0B8D"/>
    <w:rsid w:val="5C37671C"/>
    <w:rsid w:val="5C673325"/>
    <w:rsid w:val="5C757E7F"/>
    <w:rsid w:val="5CA857DC"/>
    <w:rsid w:val="5CA97B29"/>
    <w:rsid w:val="5CCB3F43"/>
    <w:rsid w:val="5D5D591D"/>
    <w:rsid w:val="5D783CDA"/>
    <w:rsid w:val="5E0D2339"/>
    <w:rsid w:val="5E13627E"/>
    <w:rsid w:val="5E67546A"/>
    <w:rsid w:val="5E7509F3"/>
    <w:rsid w:val="5F092881"/>
    <w:rsid w:val="5F0A6F31"/>
    <w:rsid w:val="5F2658AB"/>
    <w:rsid w:val="5F6917F1"/>
    <w:rsid w:val="5FC4513D"/>
    <w:rsid w:val="5FC51DA0"/>
    <w:rsid w:val="5FC57539"/>
    <w:rsid w:val="5FD368E0"/>
    <w:rsid w:val="60232C89"/>
    <w:rsid w:val="60602BF4"/>
    <w:rsid w:val="6080745F"/>
    <w:rsid w:val="6131633F"/>
    <w:rsid w:val="616F47F8"/>
    <w:rsid w:val="61BC5848"/>
    <w:rsid w:val="61DF4065"/>
    <w:rsid w:val="6255354D"/>
    <w:rsid w:val="62982F8C"/>
    <w:rsid w:val="62EF64B1"/>
    <w:rsid w:val="62F7618C"/>
    <w:rsid w:val="63AD56B0"/>
    <w:rsid w:val="63DF4596"/>
    <w:rsid w:val="63F14444"/>
    <w:rsid w:val="642F4DB7"/>
    <w:rsid w:val="644B5969"/>
    <w:rsid w:val="64AA756E"/>
    <w:rsid w:val="64AC28AC"/>
    <w:rsid w:val="64D0523F"/>
    <w:rsid w:val="64D43BB1"/>
    <w:rsid w:val="65037FF2"/>
    <w:rsid w:val="65213759"/>
    <w:rsid w:val="65926EDA"/>
    <w:rsid w:val="65AA7225"/>
    <w:rsid w:val="65D07218"/>
    <w:rsid w:val="661965E1"/>
    <w:rsid w:val="664A6DB3"/>
    <w:rsid w:val="667446D6"/>
    <w:rsid w:val="67527824"/>
    <w:rsid w:val="67566AFF"/>
    <w:rsid w:val="67661BC6"/>
    <w:rsid w:val="67A7735B"/>
    <w:rsid w:val="67AA59CE"/>
    <w:rsid w:val="68021003"/>
    <w:rsid w:val="68024095"/>
    <w:rsid w:val="68137D28"/>
    <w:rsid w:val="682B74D5"/>
    <w:rsid w:val="6864090D"/>
    <w:rsid w:val="68CE401A"/>
    <w:rsid w:val="68E819D9"/>
    <w:rsid w:val="68FF05E5"/>
    <w:rsid w:val="692D1AE1"/>
    <w:rsid w:val="696B5AAF"/>
    <w:rsid w:val="698F4691"/>
    <w:rsid w:val="69903460"/>
    <w:rsid w:val="699851AD"/>
    <w:rsid w:val="69AB27FA"/>
    <w:rsid w:val="69B67D29"/>
    <w:rsid w:val="69C85B3E"/>
    <w:rsid w:val="6B035652"/>
    <w:rsid w:val="6B2111D2"/>
    <w:rsid w:val="6B275ADB"/>
    <w:rsid w:val="6B2F0969"/>
    <w:rsid w:val="6B511AB7"/>
    <w:rsid w:val="6B6E7799"/>
    <w:rsid w:val="6B73519C"/>
    <w:rsid w:val="6BD83F86"/>
    <w:rsid w:val="6BE83A33"/>
    <w:rsid w:val="6C113D26"/>
    <w:rsid w:val="6C1B20C5"/>
    <w:rsid w:val="6C262B15"/>
    <w:rsid w:val="6C3311BD"/>
    <w:rsid w:val="6C5C6966"/>
    <w:rsid w:val="6C717FC7"/>
    <w:rsid w:val="6CAA3DF3"/>
    <w:rsid w:val="6D0A10DE"/>
    <w:rsid w:val="6D4C1FCA"/>
    <w:rsid w:val="6D4E6DD0"/>
    <w:rsid w:val="6DD100F1"/>
    <w:rsid w:val="6E2A65EF"/>
    <w:rsid w:val="6E3B4867"/>
    <w:rsid w:val="6E7354E8"/>
    <w:rsid w:val="6EA66D41"/>
    <w:rsid w:val="6F1E6154"/>
    <w:rsid w:val="6F3A26E8"/>
    <w:rsid w:val="6F50760F"/>
    <w:rsid w:val="6F881EDF"/>
    <w:rsid w:val="702748BD"/>
    <w:rsid w:val="702E686B"/>
    <w:rsid w:val="706F0D4A"/>
    <w:rsid w:val="70981225"/>
    <w:rsid w:val="70BE7462"/>
    <w:rsid w:val="71937888"/>
    <w:rsid w:val="719E4CA8"/>
    <w:rsid w:val="71B30A46"/>
    <w:rsid w:val="725B4129"/>
    <w:rsid w:val="731D47D3"/>
    <w:rsid w:val="733221CE"/>
    <w:rsid w:val="7366378E"/>
    <w:rsid w:val="73712635"/>
    <w:rsid w:val="7410440D"/>
    <w:rsid w:val="74445654"/>
    <w:rsid w:val="74461453"/>
    <w:rsid w:val="74614A1C"/>
    <w:rsid w:val="74BF306B"/>
    <w:rsid w:val="74DD43BC"/>
    <w:rsid w:val="752821B9"/>
    <w:rsid w:val="752D5343"/>
    <w:rsid w:val="753B479E"/>
    <w:rsid w:val="75457105"/>
    <w:rsid w:val="75622B13"/>
    <w:rsid w:val="75846F2D"/>
    <w:rsid w:val="75BA55A3"/>
    <w:rsid w:val="75C60B79"/>
    <w:rsid w:val="75CF60A7"/>
    <w:rsid w:val="76AB70C1"/>
    <w:rsid w:val="76AD3FF9"/>
    <w:rsid w:val="76D252C8"/>
    <w:rsid w:val="76D7621B"/>
    <w:rsid w:val="76FA2A99"/>
    <w:rsid w:val="7771546F"/>
    <w:rsid w:val="777D4BE9"/>
    <w:rsid w:val="779A3579"/>
    <w:rsid w:val="77CD049D"/>
    <w:rsid w:val="77D10621"/>
    <w:rsid w:val="77F51D1A"/>
    <w:rsid w:val="78092C74"/>
    <w:rsid w:val="78E201F2"/>
    <w:rsid w:val="794C1B10"/>
    <w:rsid w:val="795F350D"/>
    <w:rsid w:val="79866C7A"/>
    <w:rsid w:val="79872B48"/>
    <w:rsid w:val="79895EAC"/>
    <w:rsid w:val="799236E7"/>
    <w:rsid w:val="79993AD1"/>
    <w:rsid w:val="79BC7FBE"/>
    <w:rsid w:val="79E1494E"/>
    <w:rsid w:val="7A04260F"/>
    <w:rsid w:val="7A357353"/>
    <w:rsid w:val="7A6B4218"/>
    <w:rsid w:val="7AA010FB"/>
    <w:rsid w:val="7AA428F7"/>
    <w:rsid w:val="7AED106F"/>
    <w:rsid w:val="7B312AF7"/>
    <w:rsid w:val="7B4F5449"/>
    <w:rsid w:val="7B5C32EC"/>
    <w:rsid w:val="7BD32074"/>
    <w:rsid w:val="7C1525C8"/>
    <w:rsid w:val="7C3B0FE1"/>
    <w:rsid w:val="7C3F341E"/>
    <w:rsid w:val="7C8D40C6"/>
    <w:rsid w:val="7C8F68E3"/>
    <w:rsid w:val="7CA227A5"/>
    <w:rsid w:val="7CF92B0D"/>
    <w:rsid w:val="7CFC140B"/>
    <w:rsid w:val="7D094F84"/>
    <w:rsid w:val="7D155246"/>
    <w:rsid w:val="7D225061"/>
    <w:rsid w:val="7D2B0B2C"/>
    <w:rsid w:val="7D4E057E"/>
    <w:rsid w:val="7D652500"/>
    <w:rsid w:val="7D68356F"/>
    <w:rsid w:val="7D730CDE"/>
    <w:rsid w:val="7D9F2B56"/>
    <w:rsid w:val="7DBA31B2"/>
    <w:rsid w:val="7DC2406E"/>
    <w:rsid w:val="7DD17CDB"/>
    <w:rsid w:val="7E2911F2"/>
    <w:rsid w:val="7E4B67C3"/>
    <w:rsid w:val="7ED56104"/>
    <w:rsid w:val="7EEF18BB"/>
    <w:rsid w:val="7F295485"/>
    <w:rsid w:val="7F3460CD"/>
    <w:rsid w:val="7F9FD69F"/>
    <w:rsid w:val="7FE54D11"/>
    <w:rsid w:val="7FF81F25"/>
    <w:rsid w:val="7FFD0D27"/>
    <w:rsid w:val="BCFF7E4B"/>
    <w:rsid w:val="FFFB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8"/>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9"/>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51"/>
    <w:qFormat/>
    <w:uiPriority w:val="0"/>
    <w:pPr>
      <w:keepNext/>
      <w:jc w:val="center"/>
      <w:outlineLvl w:val="5"/>
    </w:pPr>
    <w:rPr>
      <w:b/>
      <w:kern w:val="0"/>
      <w:sz w:val="44"/>
      <w:szCs w:val="20"/>
    </w:rPr>
  </w:style>
  <w:style w:type="paragraph" w:styleId="8">
    <w:name w:val="heading 7"/>
    <w:basedOn w:val="1"/>
    <w:next w:val="1"/>
    <w:link w:val="52"/>
    <w:qFormat/>
    <w:uiPriority w:val="0"/>
    <w:pPr>
      <w:keepNext/>
      <w:keepLines/>
      <w:spacing w:before="240" w:after="64" w:line="320" w:lineRule="auto"/>
      <w:outlineLvl w:val="6"/>
    </w:pPr>
    <w:rPr>
      <w:b/>
      <w:bCs/>
      <w:kern w:val="0"/>
      <w:sz w:val="24"/>
    </w:rPr>
  </w:style>
  <w:style w:type="paragraph" w:styleId="9">
    <w:name w:val="heading 8"/>
    <w:basedOn w:val="1"/>
    <w:next w:val="1"/>
    <w:link w:val="53"/>
    <w:qFormat/>
    <w:uiPriority w:val="0"/>
    <w:pPr>
      <w:keepNext/>
      <w:keepLines/>
      <w:spacing w:before="240" w:after="64" w:line="320" w:lineRule="auto"/>
      <w:outlineLvl w:val="7"/>
    </w:pPr>
    <w:rPr>
      <w:rFonts w:ascii="Arial" w:hAnsi="Arial" w:eastAsia="黑体"/>
      <w:kern w:val="0"/>
      <w:sz w:val="24"/>
    </w:rPr>
  </w:style>
  <w:style w:type="paragraph" w:styleId="10">
    <w:name w:val="heading 9"/>
    <w:basedOn w:val="1"/>
    <w:next w:val="1"/>
    <w:link w:val="54"/>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te Heading"/>
    <w:basedOn w:val="1"/>
    <w:next w:val="1"/>
    <w:qFormat/>
    <w:uiPriority w:val="0"/>
    <w:rPr>
      <w:rFonts w:ascii="Verdana" w:hAnsi="Verdana"/>
      <w:szCs w:val="20"/>
    </w:rPr>
  </w:style>
  <w:style w:type="paragraph" w:styleId="12">
    <w:name w:val="Normal Indent"/>
    <w:basedOn w:val="1"/>
    <w:link w:val="55"/>
    <w:qFormat/>
    <w:uiPriority w:val="0"/>
    <w:pPr>
      <w:ind w:firstLine="420"/>
    </w:pPr>
    <w:rPr>
      <w:kern w:val="0"/>
      <w:sz w:val="20"/>
      <w:szCs w:val="20"/>
    </w:rPr>
  </w:style>
  <w:style w:type="paragraph" w:styleId="13">
    <w:name w:val="Document Map"/>
    <w:basedOn w:val="1"/>
    <w:link w:val="56"/>
    <w:semiHidden/>
    <w:qFormat/>
    <w:uiPriority w:val="0"/>
    <w:pPr>
      <w:shd w:val="clear" w:color="auto" w:fill="000080"/>
    </w:pPr>
    <w:rPr>
      <w:kern w:val="0"/>
      <w:sz w:val="20"/>
    </w:rPr>
  </w:style>
  <w:style w:type="paragraph" w:styleId="1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57"/>
    <w:unhideWhenUsed/>
    <w:qFormat/>
    <w:uiPriority w:val="99"/>
    <w:pPr>
      <w:jc w:val="left"/>
    </w:pPr>
  </w:style>
  <w:style w:type="paragraph" w:styleId="16">
    <w:name w:val="Body Text 3"/>
    <w:basedOn w:val="1"/>
    <w:link w:val="58"/>
    <w:qFormat/>
    <w:uiPriority w:val="0"/>
    <w:pPr>
      <w:spacing w:after="120"/>
    </w:pPr>
    <w:rPr>
      <w:kern w:val="0"/>
      <w:sz w:val="16"/>
      <w:szCs w:val="16"/>
    </w:rPr>
  </w:style>
  <w:style w:type="paragraph" w:styleId="17">
    <w:name w:val="Body Text"/>
    <w:basedOn w:val="1"/>
    <w:next w:val="1"/>
    <w:link w:val="59"/>
    <w:qFormat/>
    <w:uiPriority w:val="0"/>
    <w:rPr>
      <w:rFonts w:ascii="仿宋_GB2312" w:eastAsia="仿宋_GB2312"/>
      <w:kern w:val="0"/>
      <w:sz w:val="24"/>
      <w:szCs w:val="20"/>
    </w:rPr>
  </w:style>
  <w:style w:type="paragraph" w:styleId="18">
    <w:name w:val="Body Text Indent"/>
    <w:basedOn w:val="1"/>
    <w:next w:val="19"/>
    <w:link w:val="60"/>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Block Text"/>
    <w:basedOn w:val="1"/>
    <w:next w:val="17"/>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1">
    <w:name w:val="Plain Text"/>
    <w:basedOn w:val="1"/>
    <w:link w:val="61"/>
    <w:qFormat/>
    <w:uiPriority w:val="0"/>
    <w:rPr>
      <w:rFonts w:ascii="宋体" w:hAnsi="Courier New"/>
      <w:kern w:val="0"/>
      <w:sz w:val="20"/>
      <w:szCs w:val="21"/>
    </w:rPr>
  </w:style>
  <w:style w:type="paragraph" w:styleId="22">
    <w:name w:val="Date"/>
    <w:basedOn w:val="1"/>
    <w:next w:val="1"/>
    <w:link w:val="62"/>
    <w:qFormat/>
    <w:uiPriority w:val="0"/>
    <w:rPr>
      <w:kern w:val="0"/>
      <w:sz w:val="24"/>
      <w:szCs w:val="20"/>
    </w:rPr>
  </w:style>
  <w:style w:type="paragraph" w:styleId="23">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4">
    <w:name w:val="Balloon Text"/>
    <w:basedOn w:val="1"/>
    <w:link w:val="64"/>
    <w:semiHidden/>
    <w:qFormat/>
    <w:uiPriority w:val="0"/>
    <w:rPr>
      <w:kern w:val="0"/>
      <w:sz w:val="18"/>
      <w:szCs w:val="18"/>
    </w:rPr>
  </w:style>
  <w:style w:type="paragraph" w:styleId="25">
    <w:name w:val="footer"/>
    <w:basedOn w:val="1"/>
    <w:link w:val="65"/>
    <w:qFormat/>
    <w:uiPriority w:val="99"/>
    <w:pPr>
      <w:tabs>
        <w:tab w:val="center" w:pos="4153"/>
        <w:tab w:val="right" w:pos="8306"/>
      </w:tabs>
      <w:snapToGrid w:val="0"/>
      <w:jc w:val="left"/>
    </w:pPr>
    <w:rPr>
      <w:kern w:val="0"/>
      <w:sz w:val="18"/>
      <w:szCs w:val="20"/>
    </w:rPr>
  </w:style>
  <w:style w:type="paragraph" w:styleId="26">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semiHidden/>
    <w:qFormat/>
    <w:uiPriority w:val="0"/>
    <w:rPr>
      <w:sz w:val="24"/>
    </w:rPr>
  </w:style>
  <w:style w:type="paragraph" w:styleId="28">
    <w:name w:val="List"/>
    <w:basedOn w:val="1"/>
    <w:qFormat/>
    <w:uiPriority w:val="0"/>
    <w:pPr>
      <w:ind w:left="200" w:hanging="200" w:hangingChars="200"/>
    </w:pPr>
  </w:style>
  <w:style w:type="paragraph" w:styleId="29">
    <w:name w:val="Body Text Indent 3"/>
    <w:basedOn w:val="1"/>
    <w:link w:val="67"/>
    <w:qFormat/>
    <w:uiPriority w:val="0"/>
    <w:pPr>
      <w:spacing w:after="120"/>
      <w:ind w:left="420" w:leftChars="200"/>
    </w:pPr>
    <w:rPr>
      <w:kern w:val="0"/>
      <w:sz w:val="16"/>
      <w:szCs w:val="16"/>
    </w:rPr>
  </w:style>
  <w:style w:type="paragraph" w:styleId="30">
    <w:name w:val="Body Text 2"/>
    <w:basedOn w:val="1"/>
    <w:link w:val="68"/>
    <w:qFormat/>
    <w:uiPriority w:val="0"/>
    <w:pPr>
      <w:snapToGrid w:val="0"/>
    </w:pPr>
    <w:rPr>
      <w:b/>
      <w:bCs/>
      <w:kern w:val="0"/>
      <w:sz w:val="18"/>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2">
    <w:name w:val="annotation subject"/>
    <w:basedOn w:val="15"/>
    <w:next w:val="15"/>
    <w:link w:val="69"/>
    <w:unhideWhenUsed/>
    <w:qFormat/>
    <w:uiPriority w:val="99"/>
    <w:rPr>
      <w:b/>
      <w:bCs/>
    </w:rPr>
  </w:style>
  <w:style w:type="paragraph" w:styleId="33">
    <w:name w:val="Body Text First Indent"/>
    <w:basedOn w:val="17"/>
    <w:link w:val="70"/>
    <w:qFormat/>
    <w:uiPriority w:val="0"/>
    <w:pPr>
      <w:spacing w:after="120"/>
      <w:ind w:firstLine="420" w:firstLineChars="100"/>
    </w:pPr>
    <w:rPr>
      <w:rFonts w:ascii="Times New Roman" w:eastAsia="宋体"/>
      <w:szCs w:val="24"/>
    </w:rPr>
  </w:style>
  <w:style w:type="paragraph" w:styleId="34">
    <w:name w:val="Body Text First Indent 2"/>
    <w:basedOn w:val="18"/>
    <w:next w:val="1"/>
    <w:unhideWhenUsed/>
    <w:qFormat/>
    <w:uiPriority w:val="99"/>
    <w:pPr>
      <w:ind w:firstLine="200" w:firstLineChars="20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basedOn w:val="37"/>
    <w:qFormat/>
    <w:uiPriority w:val="0"/>
    <w:rPr>
      <w:color w:val="0000FF"/>
      <w:u w:val="single"/>
    </w:rPr>
  </w:style>
  <w:style w:type="character" w:styleId="42">
    <w:name w:val="annotation reference"/>
    <w:unhideWhenUsed/>
    <w:qFormat/>
    <w:uiPriority w:val="99"/>
    <w:rPr>
      <w:sz w:val="21"/>
      <w:szCs w:val="21"/>
    </w:rPr>
  </w:style>
  <w:style w:type="paragraph" w:customStyle="1" w:styleId="43">
    <w:name w:val="正文首行缩进1"/>
    <w:basedOn w:val="44"/>
    <w:qFormat/>
    <w:uiPriority w:val="0"/>
    <w:pPr>
      <w:spacing w:line="360" w:lineRule="auto"/>
      <w:ind w:firstLine="200"/>
    </w:pPr>
    <w:rPr>
      <w:rFonts w:ascii="仿宋_GB2312" w:eastAsia="仿宋_GB2312"/>
      <w:sz w:val="30"/>
      <w:szCs w:val="30"/>
      <w:lang w:eastAsia="en-US"/>
    </w:rPr>
  </w:style>
  <w:style w:type="paragraph" w:customStyle="1" w:styleId="44">
    <w:name w:val="正文文本11"/>
    <w:basedOn w:val="1"/>
    <w:next w:val="1"/>
    <w:qFormat/>
    <w:uiPriority w:val="0"/>
    <w:rPr>
      <w:rFonts w:ascii="楷体_GB2312" w:hAnsi="Arial" w:eastAsia="楷体_GB2312"/>
      <w:sz w:val="28"/>
      <w:szCs w:val="28"/>
    </w:rPr>
  </w:style>
  <w:style w:type="paragraph" w:customStyle="1" w:styleId="45">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character" w:customStyle="1" w:styleId="46">
    <w:name w:val="标题 2 字符"/>
    <w:link w:val="3"/>
    <w:qFormat/>
    <w:uiPriority w:val="0"/>
    <w:rPr>
      <w:rFonts w:ascii="Arial" w:hAnsi="Arial" w:eastAsia="黑体" w:cs="Times New Roman"/>
      <w:b/>
      <w:bCs/>
      <w:sz w:val="32"/>
      <w:szCs w:val="32"/>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3 字符"/>
    <w:link w:val="4"/>
    <w:qFormat/>
    <w:uiPriority w:val="0"/>
    <w:rPr>
      <w:rFonts w:ascii="Times New Roman" w:hAnsi="Times New Roman" w:eastAsia="宋体" w:cs="Times New Roman"/>
      <w:b/>
      <w:bCs/>
      <w:sz w:val="32"/>
      <w:szCs w:val="32"/>
    </w:rPr>
  </w:style>
  <w:style w:type="character" w:customStyle="1" w:styleId="49">
    <w:name w:val="标题 4 字符"/>
    <w:link w:val="5"/>
    <w:qFormat/>
    <w:uiPriority w:val="0"/>
    <w:rPr>
      <w:rFonts w:ascii="Times New Roman" w:hAnsi="Times New Roman" w:eastAsia="新宋体" w:cs="Times New Roman"/>
      <w:sz w:val="30"/>
      <w:szCs w:val="21"/>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sz w:val="44"/>
      <w:szCs w:val="20"/>
    </w:rPr>
  </w:style>
  <w:style w:type="character" w:customStyle="1" w:styleId="52">
    <w:name w:val="标题 7 字符"/>
    <w:link w:val="8"/>
    <w:qFormat/>
    <w:uiPriority w:val="0"/>
    <w:rPr>
      <w:rFonts w:ascii="Times New Roman" w:hAnsi="Times New Roman" w:eastAsia="宋体" w:cs="Times New Roman"/>
      <w:b/>
      <w:bCs/>
      <w:sz w:val="24"/>
      <w:szCs w:val="24"/>
    </w:rPr>
  </w:style>
  <w:style w:type="character" w:customStyle="1" w:styleId="53">
    <w:name w:val="标题 8 字符"/>
    <w:link w:val="9"/>
    <w:qFormat/>
    <w:uiPriority w:val="0"/>
    <w:rPr>
      <w:rFonts w:ascii="Arial" w:hAnsi="Arial" w:eastAsia="黑体" w:cs="Times New Roman"/>
      <w:sz w:val="24"/>
      <w:szCs w:val="24"/>
    </w:rPr>
  </w:style>
  <w:style w:type="character" w:customStyle="1" w:styleId="54">
    <w:name w:val="标题 9 字符"/>
    <w:link w:val="10"/>
    <w:qFormat/>
    <w:uiPriority w:val="0"/>
    <w:rPr>
      <w:rFonts w:ascii="Arial" w:hAnsi="Arial" w:eastAsia="黑体" w:cs="Times New Roman"/>
      <w:sz w:val="24"/>
      <w:szCs w:val="21"/>
    </w:rPr>
  </w:style>
  <w:style w:type="character" w:customStyle="1" w:styleId="55">
    <w:name w:val="正文缩进 字符"/>
    <w:link w:val="12"/>
    <w:qFormat/>
    <w:uiPriority w:val="0"/>
    <w:rPr>
      <w:rFonts w:ascii="Times New Roman" w:hAnsi="Times New Roman" w:eastAsia="宋体" w:cs="Times New Roman"/>
      <w:kern w:val="0"/>
      <w:sz w:val="20"/>
      <w:szCs w:val="20"/>
    </w:rPr>
  </w:style>
  <w:style w:type="character" w:customStyle="1" w:styleId="56">
    <w:name w:val="文档结构图 字符"/>
    <w:link w:val="13"/>
    <w:semiHidden/>
    <w:qFormat/>
    <w:uiPriority w:val="0"/>
    <w:rPr>
      <w:szCs w:val="24"/>
      <w:shd w:val="clear" w:color="auto" w:fill="000080"/>
    </w:rPr>
  </w:style>
  <w:style w:type="character" w:customStyle="1" w:styleId="57">
    <w:name w:val="批注文字 字符"/>
    <w:link w:val="15"/>
    <w:qFormat/>
    <w:uiPriority w:val="99"/>
    <w:rPr>
      <w:kern w:val="2"/>
      <w:sz w:val="21"/>
      <w:szCs w:val="24"/>
    </w:rPr>
  </w:style>
  <w:style w:type="character" w:customStyle="1" w:styleId="58">
    <w:name w:val="正文文本 3 字符"/>
    <w:link w:val="16"/>
    <w:qFormat/>
    <w:uiPriority w:val="0"/>
    <w:rPr>
      <w:rFonts w:ascii="Times New Roman" w:hAnsi="Times New Roman" w:eastAsia="宋体" w:cs="Times New Roman"/>
      <w:sz w:val="16"/>
      <w:szCs w:val="16"/>
    </w:rPr>
  </w:style>
  <w:style w:type="character" w:customStyle="1" w:styleId="59">
    <w:name w:val="正文文本 字符"/>
    <w:link w:val="17"/>
    <w:qFormat/>
    <w:uiPriority w:val="0"/>
    <w:rPr>
      <w:rFonts w:ascii="仿宋_GB2312" w:hAnsi="Times New Roman" w:eastAsia="仿宋_GB2312" w:cs="Times New Roman"/>
      <w:sz w:val="24"/>
      <w:szCs w:val="20"/>
    </w:rPr>
  </w:style>
  <w:style w:type="character" w:customStyle="1" w:styleId="60">
    <w:name w:val="正文文本缩进 字符"/>
    <w:link w:val="18"/>
    <w:qFormat/>
    <w:uiPriority w:val="0"/>
    <w:rPr>
      <w:rFonts w:ascii="仿宋_GB2312" w:hAnsi="Times New Roman" w:eastAsia="仿宋_GB2312" w:cs="Times New Roman"/>
      <w:sz w:val="28"/>
      <w:szCs w:val="20"/>
    </w:rPr>
  </w:style>
  <w:style w:type="character" w:customStyle="1" w:styleId="61">
    <w:name w:val="纯文本 字符"/>
    <w:link w:val="21"/>
    <w:qFormat/>
    <w:uiPriority w:val="0"/>
    <w:rPr>
      <w:rFonts w:ascii="宋体" w:hAnsi="Courier New" w:eastAsia="宋体" w:cs="Courier New"/>
      <w:szCs w:val="21"/>
    </w:rPr>
  </w:style>
  <w:style w:type="character" w:customStyle="1" w:styleId="62">
    <w:name w:val="日期 字符"/>
    <w:link w:val="22"/>
    <w:qFormat/>
    <w:uiPriority w:val="0"/>
    <w:rPr>
      <w:rFonts w:ascii="Times New Roman" w:hAnsi="Times New Roman" w:eastAsia="宋体" w:cs="Times New Roman"/>
      <w:sz w:val="24"/>
      <w:szCs w:val="20"/>
    </w:rPr>
  </w:style>
  <w:style w:type="character" w:customStyle="1" w:styleId="63">
    <w:name w:val="正文文本缩进 2 字符"/>
    <w:link w:val="23"/>
    <w:qFormat/>
    <w:uiPriority w:val="0"/>
    <w:rPr>
      <w:rFonts w:ascii="Times New Roman" w:hAnsi="Times New Roman" w:eastAsia="仿宋_GB2312" w:cs="Times New Roman"/>
      <w:sz w:val="28"/>
      <w:szCs w:val="20"/>
    </w:rPr>
  </w:style>
  <w:style w:type="character" w:customStyle="1" w:styleId="64">
    <w:name w:val="批注框文本 字符"/>
    <w:link w:val="24"/>
    <w:semiHidden/>
    <w:qFormat/>
    <w:uiPriority w:val="0"/>
    <w:rPr>
      <w:sz w:val="18"/>
      <w:szCs w:val="18"/>
    </w:rPr>
  </w:style>
  <w:style w:type="character" w:customStyle="1" w:styleId="65">
    <w:name w:val="页脚 字符"/>
    <w:link w:val="25"/>
    <w:qFormat/>
    <w:uiPriority w:val="99"/>
    <w:rPr>
      <w:rFonts w:ascii="Times New Roman" w:hAnsi="Times New Roman" w:eastAsia="宋体" w:cs="Times New Roman"/>
      <w:sz w:val="18"/>
      <w:szCs w:val="20"/>
    </w:rPr>
  </w:style>
  <w:style w:type="character" w:customStyle="1" w:styleId="66">
    <w:name w:val="页眉 字符"/>
    <w:link w:val="26"/>
    <w:qFormat/>
    <w:uiPriority w:val="0"/>
    <w:rPr>
      <w:rFonts w:ascii="Times New Roman" w:hAnsi="Times New Roman" w:eastAsia="宋体" w:cs="Times New Roman"/>
      <w:sz w:val="18"/>
      <w:szCs w:val="18"/>
    </w:rPr>
  </w:style>
  <w:style w:type="character" w:customStyle="1" w:styleId="67">
    <w:name w:val="正文文本缩进 3 字符"/>
    <w:link w:val="29"/>
    <w:qFormat/>
    <w:uiPriority w:val="0"/>
    <w:rPr>
      <w:rFonts w:ascii="Times New Roman" w:hAnsi="Times New Roman" w:eastAsia="宋体" w:cs="Times New Roman"/>
      <w:sz w:val="16"/>
      <w:szCs w:val="16"/>
    </w:rPr>
  </w:style>
  <w:style w:type="character" w:customStyle="1" w:styleId="68">
    <w:name w:val="正文文本 2 字符"/>
    <w:link w:val="30"/>
    <w:qFormat/>
    <w:uiPriority w:val="0"/>
    <w:rPr>
      <w:rFonts w:ascii="Times New Roman" w:hAnsi="Times New Roman" w:eastAsia="宋体" w:cs="Times New Roman"/>
      <w:b/>
      <w:bCs/>
      <w:sz w:val="18"/>
      <w:szCs w:val="24"/>
    </w:rPr>
  </w:style>
  <w:style w:type="character" w:customStyle="1" w:styleId="69">
    <w:name w:val="批注主题 字符"/>
    <w:link w:val="32"/>
    <w:semiHidden/>
    <w:qFormat/>
    <w:uiPriority w:val="99"/>
    <w:rPr>
      <w:b/>
      <w:bCs/>
      <w:kern w:val="2"/>
      <w:sz w:val="21"/>
      <w:szCs w:val="24"/>
    </w:rPr>
  </w:style>
  <w:style w:type="character" w:customStyle="1" w:styleId="70">
    <w:name w:val="正文首行缩进 字符"/>
    <w:link w:val="33"/>
    <w:qFormat/>
    <w:uiPriority w:val="0"/>
    <w:rPr>
      <w:rFonts w:ascii="Times New Roman" w:hAnsi="Times New Roman" w:eastAsia="宋体" w:cs="Times New Roman"/>
      <w:sz w:val="24"/>
      <w:szCs w:val="24"/>
    </w:rPr>
  </w:style>
  <w:style w:type="paragraph" w:customStyle="1" w:styleId="71">
    <w:name w:val="无间隔1"/>
    <w:qFormat/>
    <w:uiPriority w:val="0"/>
    <w:rPr>
      <w:rFonts w:ascii="Times New Roman" w:hAnsi="Times New Roman" w:eastAsia="宋体" w:cs="Calibri"/>
      <w:sz w:val="22"/>
      <w:lang w:val="en-US" w:eastAsia="zh-CN" w:bidi="ar-SA"/>
    </w:rPr>
  </w:style>
  <w:style w:type="paragraph" w:customStyle="1" w:styleId="72">
    <w:name w:val="style4"/>
    <w:basedOn w:val="1"/>
    <w:next w:val="73"/>
    <w:qFormat/>
    <w:uiPriority w:val="0"/>
    <w:pPr>
      <w:widowControl/>
      <w:spacing w:before="280" w:after="280"/>
    </w:pPr>
    <w:rPr>
      <w:rFonts w:ascii="宋体"/>
      <w:sz w:val="18"/>
    </w:rPr>
  </w:style>
  <w:style w:type="paragraph" w:customStyle="1" w:styleId="73">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74">
    <w:name w:val="font11"/>
    <w:qFormat/>
    <w:uiPriority w:val="0"/>
    <w:rPr>
      <w:rFonts w:hint="eastAsia" w:ascii="宋体" w:hAnsi="宋体" w:eastAsia="宋体" w:cs="宋体"/>
      <w:color w:val="000000"/>
      <w:sz w:val="24"/>
      <w:szCs w:val="24"/>
      <w:u w:val="none"/>
    </w:rPr>
  </w:style>
  <w:style w:type="character" w:customStyle="1" w:styleId="75">
    <w:name w:val="font41"/>
    <w:qFormat/>
    <w:uiPriority w:val="0"/>
    <w:rPr>
      <w:rFonts w:hint="eastAsia" w:ascii="宋体" w:hAnsi="宋体" w:eastAsia="宋体" w:cs="宋体"/>
      <w:color w:val="FFCC00"/>
      <w:sz w:val="24"/>
      <w:szCs w:val="24"/>
      <w:u w:val="none"/>
    </w:rPr>
  </w:style>
  <w:style w:type="character" w:customStyle="1" w:styleId="76">
    <w:name w:val="样式 ssss + 宋体 五号1 Char"/>
    <w:link w:val="77"/>
    <w:qFormat/>
    <w:uiPriority w:val="0"/>
    <w:rPr>
      <w:rFonts w:ascii="宋体" w:hAnsi="宋体" w:eastAsia="宋体" w:cs="Times New Roman"/>
      <w:sz w:val="24"/>
      <w:szCs w:val="24"/>
    </w:rPr>
  </w:style>
  <w:style w:type="paragraph" w:customStyle="1" w:styleId="77">
    <w:name w:val="样式 ssss + 宋体 五号1"/>
    <w:basedOn w:val="78"/>
    <w:link w:val="76"/>
    <w:qFormat/>
    <w:uiPriority w:val="0"/>
    <w:rPr>
      <w:rFonts w:ascii="宋体" w:hAnsi="宋体"/>
    </w:rPr>
  </w:style>
  <w:style w:type="paragraph" w:customStyle="1" w:styleId="78">
    <w:name w:val="ssss"/>
    <w:basedOn w:val="1"/>
    <w:link w:val="79"/>
    <w:qFormat/>
    <w:uiPriority w:val="0"/>
    <w:pPr>
      <w:spacing w:line="360" w:lineRule="auto"/>
      <w:ind w:firstLine="480" w:firstLineChars="200"/>
    </w:pPr>
    <w:rPr>
      <w:kern w:val="0"/>
      <w:sz w:val="24"/>
    </w:rPr>
  </w:style>
  <w:style w:type="character" w:customStyle="1" w:styleId="79">
    <w:name w:val="ssss Char1"/>
    <w:link w:val="78"/>
    <w:qFormat/>
    <w:uiPriority w:val="0"/>
    <w:rPr>
      <w:rFonts w:ascii="Times New Roman" w:hAnsi="Times New Roman" w:eastAsia="宋体" w:cs="Times New Roman"/>
      <w:sz w:val="24"/>
      <w:szCs w:val="24"/>
    </w:rPr>
  </w:style>
  <w:style w:type="character" w:customStyle="1" w:styleId="80">
    <w:name w:val="font01"/>
    <w:qFormat/>
    <w:uiPriority w:val="0"/>
    <w:rPr>
      <w:rFonts w:hint="eastAsia" w:ascii="宋体" w:hAnsi="宋体" w:eastAsia="宋体" w:cs="宋体"/>
      <w:color w:val="FF0000"/>
      <w:sz w:val="24"/>
      <w:szCs w:val="24"/>
      <w:u w:val="none"/>
    </w:rPr>
  </w:style>
  <w:style w:type="character" w:customStyle="1" w:styleId="81">
    <w:name w:val="point_normal1"/>
    <w:qFormat/>
    <w:uiPriority w:val="0"/>
    <w:rPr>
      <w:rFonts w:hint="default" w:ascii="Arial" w:hAnsi="Arial" w:cs="Arial"/>
      <w:sz w:val="16"/>
      <w:szCs w:val="16"/>
    </w:rPr>
  </w:style>
  <w:style w:type="character" w:customStyle="1" w:styleId="82">
    <w:name w:val="列出段落 字符"/>
    <w:link w:val="83"/>
    <w:qFormat/>
    <w:locked/>
    <w:uiPriority w:val="99"/>
  </w:style>
  <w:style w:type="paragraph" w:styleId="83">
    <w:name w:val="List Paragraph"/>
    <w:basedOn w:val="1"/>
    <w:link w:val="82"/>
    <w:qFormat/>
    <w:uiPriority w:val="99"/>
    <w:pPr>
      <w:ind w:firstLine="420" w:firstLineChars="200"/>
    </w:pPr>
    <w:rPr>
      <w:kern w:val="0"/>
      <w:sz w:val="20"/>
      <w:szCs w:val="20"/>
    </w:rPr>
  </w:style>
  <w:style w:type="character" w:customStyle="1" w:styleId="84">
    <w:name w:val="文档结构图 Char1"/>
    <w:semiHidden/>
    <w:qFormat/>
    <w:uiPriority w:val="99"/>
    <w:rPr>
      <w:rFonts w:ascii="宋体" w:hAnsi="Times New Roman" w:eastAsia="宋体" w:cs="Times New Roman"/>
      <w:sz w:val="18"/>
      <w:szCs w:val="18"/>
    </w:rPr>
  </w:style>
  <w:style w:type="character" w:customStyle="1" w:styleId="85">
    <w:name w:val="普通正文 Char"/>
    <w:link w:val="86"/>
    <w:qFormat/>
    <w:uiPriority w:val="0"/>
    <w:rPr>
      <w:rFonts w:ascii="Arial" w:hAnsi="Arial"/>
      <w:sz w:val="24"/>
      <w:szCs w:val="24"/>
    </w:rPr>
  </w:style>
  <w:style w:type="paragraph" w:customStyle="1" w:styleId="86">
    <w:name w:val="普通正文"/>
    <w:basedOn w:val="1"/>
    <w:link w:val="85"/>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7">
    <w:name w:val="FA正文 Char"/>
    <w:link w:val="88"/>
    <w:qFormat/>
    <w:uiPriority w:val="0"/>
    <w:rPr>
      <w:rFonts w:ascii="宋体" w:hAnsi="宋体" w:eastAsia="宋体" w:cs="Times New Roman"/>
      <w:sz w:val="28"/>
      <w:szCs w:val="28"/>
    </w:rPr>
  </w:style>
  <w:style w:type="paragraph" w:customStyle="1" w:styleId="88">
    <w:name w:val="FA正文"/>
    <w:basedOn w:val="1"/>
    <w:link w:val="87"/>
    <w:qFormat/>
    <w:uiPriority w:val="0"/>
    <w:pPr>
      <w:tabs>
        <w:tab w:val="left" w:pos="3375"/>
      </w:tabs>
      <w:spacing w:line="440" w:lineRule="atLeast"/>
      <w:ind w:firstLine="538" w:firstLineChars="192"/>
    </w:pPr>
    <w:rPr>
      <w:rFonts w:ascii="宋体" w:hAnsi="宋体"/>
      <w:kern w:val="0"/>
      <w:sz w:val="28"/>
      <w:szCs w:val="28"/>
    </w:rPr>
  </w:style>
  <w:style w:type="character" w:customStyle="1" w:styleId="89">
    <w:name w:val="正文缩进2格 Char"/>
    <w:link w:val="90"/>
    <w:qFormat/>
    <w:uiPriority w:val="0"/>
    <w:rPr>
      <w:rFonts w:ascii="仿宋_GB2312" w:hAnsi="宋体" w:eastAsia="仿宋_GB2312" w:cs="Times New Roman"/>
      <w:sz w:val="31"/>
      <w:szCs w:val="28"/>
    </w:rPr>
  </w:style>
  <w:style w:type="paragraph" w:customStyle="1" w:styleId="90">
    <w:name w:val="正文缩进2格"/>
    <w:basedOn w:val="1"/>
    <w:link w:val="89"/>
    <w:qFormat/>
    <w:uiPriority w:val="0"/>
    <w:pPr>
      <w:spacing w:line="600" w:lineRule="exact"/>
      <w:ind w:firstLine="639" w:firstLineChars="206"/>
    </w:pPr>
    <w:rPr>
      <w:rFonts w:ascii="仿宋_GB2312" w:hAnsi="宋体" w:eastAsia="仿宋_GB2312"/>
      <w:kern w:val="0"/>
      <w:sz w:val="31"/>
      <w:szCs w:val="28"/>
    </w:rPr>
  </w:style>
  <w:style w:type="character" w:customStyle="1" w:styleId="91">
    <w:name w:val="cn_text1"/>
    <w:qFormat/>
    <w:uiPriority w:val="0"/>
    <w:rPr>
      <w:rFonts w:hint="default" w:ascii="ˎ̥" w:hAnsi="ˎ̥"/>
      <w:color w:val="003399"/>
      <w:spacing w:val="15"/>
      <w:sz w:val="18"/>
      <w:szCs w:val="18"/>
    </w:rPr>
  </w:style>
  <w:style w:type="character" w:customStyle="1" w:styleId="92">
    <w:name w:val="ssss Char"/>
    <w:qFormat/>
    <w:uiPriority w:val="0"/>
    <w:rPr>
      <w:rFonts w:eastAsia="宋体"/>
      <w:kern w:val="2"/>
      <w:sz w:val="24"/>
      <w:szCs w:val="24"/>
      <w:lang w:val="en-US" w:eastAsia="zh-CN" w:bidi="ar-SA"/>
    </w:rPr>
  </w:style>
  <w:style w:type="character" w:customStyle="1" w:styleId="93">
    <w:name w:val="标题 4 Char1"/>
    <w:qFormat/>
    <w:uiPriority w:val="0"/>
    <w:rPr>
      <w:rFonts w:ascii="Arial" w:hAnsi="Arial" w:eastAsia="黑体"/>
      <w:b/>
      <w:bCs/>
      <w:kern w:val="2"/>
      <w:sz w:val="28"/>
      <w:szCs w:val="28"/>
      <w:lang w:val="en-US" w:eastAsia="zh-CN" w:bidi="ar-SA"/>
    </w:rPr>
  </w:style>
  <w:style w:type="character" w:customStyle="1" w:styleId="94">
    <w:name w:val="列表段落 字符"/>
    <w:qFormat/>
    <w:uiPriority w:val="34"/>
    <w:rPr>
      <w:rFonts w:ascii="Calibri" w:hAnsi="Calibri"/>
      <w:kern w:val="2"/>
      <w:sz w:val="21"/>
      <w:szCs w:val="22"/>
    </w:rPr>
  </w:style>
  <w:style w:type="character" w:customStyle="1" w:styleId="95">
    <w:name w:val="批注框文本 Char1"/>
    <w:semiHidden/>
    <w:qFormat/>
    <w:uiPriority w:val="99"/>
    <w:rPr>
      <w:rFonts w:ascii="Times New Roman" w:hAnsi="Times New Roman" w:eastAsia="宋体" w:cs="Times New Roman"/>
      <w:sz w:val="18"/>
      <w:szCs w:val="18"/>
    </w:rPr>
  </w:style>
  <w:style w:type="paragraph" w:customStyle="1" w:styleId="96">
    <w:name w:val="样式 正文文本缩进 3 + 四号"/>
    <w:basedOn w:val="29"/>
    <w:qFormat/>
    <w:uiPriority w:val="0"/>
    <w:pPr>
      <w:spacing w:after="0" w:line="360" w:lineRule="auto"/>
      <w:ind w:left="0" w:leftChars="0" w:firstLine="437"/>
    </w:pPr>
    <w:rPr>
      <w:sz w:val="24"/>
      <w:szCs w:val="21"/>
    </w:rPr>
  </w:style>
  <w:style w:type="paragraph" w:customStyle="1" w:styleId="97">
    <w:name w:val="Default"/>
    <w:basedOn w:val="1"/>
    <w:next w:val="1"/>
    <w:qFormat/>
    <w:uiPriority w:val="0"/>
    <w:pPr>
      <w:autoSpaceDE w:val="0"/>
      <w:autoSpaceDN w:val="0"/>
      <w:adjustRightInd w:val="0"/>
      <w:jc w:val="left"/>
    </w:pPr>
    <w:rPr>
      <w:rFonts w:ascii="Arial" w:hAnsi="Arial" w:eastAsia="PMingLiU"/>
      <w:kern w:val="0"/>
      <w:sz w:val="20"/>
      <w:szCs w:val="20"/>
    </w:rPr>
  </w:style>
  <w:style w:type="paragraph" w:customStyle="1" w:styleId="9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9">
    <w:name w:val="正文缩进1"/>
    <w:basedOn w:val="1"/>
    <w:qFormat/>
    <w:uiPriority w:val="0"/>
    <w:pPr>
      <w:widowControl/>
      <w:ind w:firstLine="420"/>
      <w:jc w:val="left"/>
    </w:pPr>
    <w:rPr>
      <w:kern w:val="0"/>
    </w:rPr>
  </w:style>
  <w:style w:type="paragraph" w:customStyle="1" w:styleId="100">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1">
    <w:name w:val="样式 样式 ssss + 宋体 五号 + 首行缩进:  2 字符"/>
    <w:basedOn w:val="102"/>
    <w:qFormat/>
    <w:uiPriority w:val="0"/>
    <w:pPr>
      <w:ind w:firstLine="480"/>
    </w:pPr>
  </w:style>
  <w:style w:type="paragraph" w:customStyle="1" w:styleId="102">
    <w:name w:val="样式 ssss + 宋体 五号"/>
    <w:basedOn w:val="78"/>
    <w:qFormat/>
    <w:uiPriority w:val="0"/>
    <w:pPr>
      <w:ind w:firstLine="420"/>
    </w:pPr>
    <w:rPr>
      <w:rFonts w:ascii="宋体" w:hAnsi="宋体" w:cs="宋体"/>
      <w:szCs w:val="20"/>
    </w:rPr>
  </w:style>
  <w:style w:type="paragraph" w:customStyle="1" w:styleId="103">
    <w:name w:val="Char Char Char Char"/>
    <w:basedOn w:val="1"/>
    <w:qFormat/>
    <w:uiPriority w:val="0"/>
    <w:rPr>
      <w:rFonts w:ascii="Tahoma" w:hAnsi="Tahoma"/>
      <w:sz w:val="24"/>
      <w:szCs w:val="20"/>
    </w:rPr>
  </w:style>
  <w:style w:type="paragraph" w:customStyle="1" w:styleId="10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6">
    <w:name w:val="标题-----3"/>
    <w:basedOn w:val="4"/>
    <w:qFormat/>
    <w:uiPriority w:val="0"/>
    <w:pPr>
      <w:spacing w:before="0" w:after="0" w:line="240" w:lineRule="auto"/>
      <w:outlineLvl w:val="0"/>
    </w:pPr>
    <w:rPr>
      <w:rFonts w:ascii="宋体" w:hAnsi="宋体"/>
      <w:b w:val="0"/>
      <w:bCs w:val="0"/>
      <w:sz w:val="28"/>
      <w:szCs w:val="28"/>
    </w:rPr>
  </w:style>
  <w:style w:type="paragraph" w:customStyle="1" w:styleId="107">
    <w:name w:val="Char Char Char Char Char Char Char Char Char Char Char Char Char"/>
    <w:basedOn w:val="1"/>
    <w:qFormat/>
    <w:uiPriority w:val="0"/>
  </w:style>
  <w:style w:type="paragraph" w:customStyle="1" w:styleId="108">
    <w:name w:val="表格正文"/>
    <w:basedOn w:val="1"/>
    <w:qFormat/>
    <w:uiPriority w:val="0"/>
    <w:pPr>
      <w:spacing w:line="360" w:lineRule="auto"/>
      <w:jc w:val="left"/>
    </w:pPr>
    <w:rPr>
      <w:rFonts w:ascii="Calibri" w:hAnsi="Calibri"/>
      <w:color w:val="000000"/>
      <w:szCs w:val="28"/>
    </w:rPr>
  </w:style>
  <w:style w:type="paragraph" w:customStyle="1" w:styleId="109">
    <w:name w:val="Char Char Char Char1"/>
    <w:basedOn w:val="1"/>
    <w:qFormat/>
    <w:uiPriority w:val="0"/>
    <w:rPr>
      <w:rFonts w:ascii="Tahoma" w:hAnsi="Tahoma"/>
      <w:sz w:val="24"/>
      <w:szCs w:val="20"/>
    </w:rPr>
  </w:style>
  <w:style w:type="paragraph" w:customStyle="1" w:styleId="110">
    <w:name w:val="Char Char Char"/>
    <w:basedOn w:val="1"/>
    <w:qFormat/>
    <w:uiPriority w:val="0"/>
    <w:rPr>
      <w:rFonts w:ascii="Tahoma" w:hAnsi="Tahoma"/>
      <w:sz w:val="24"/>
      <w:szCs w:val="20"/>
    </w:rPr>
  </w:style>
  <w:style w:type="paragraph" w:customStyle="1" w:styleId="111">
    <w:name w:val="样式 ssss + 居中"/>
    <w:basedOn w:val="78"/>
    <w:qFormat/>
    <w:uiPriority w:val="0"/>
    <w:pPr>
      <w:jc w:val="center"/>
    </w:pPr>
    <w:rPr>
      <w:rFonts w:cs="宋体"/>
      <w:szCs w:val="20"/>
    </w:rPr>
  </w:style>
  <w:style w:type="paragraph" w:customStyle="1" w:styleId="112">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w:basedOn w:val="1"/>
    <w:qFormat/>
    <w:uiPriority w:val="0"/>
    <w:rPr>
      <w:rFonts w:ascii="Tahoma" w:hAnsi="Tahoma"/>
      <w:sz w:val="24"/>
      <w:szCs w:val="20"/>
    </w:rPr>
  </w:style>
  <w:style w:type="paragraph" w:customStyle="1" w:styleId="114">
    <w:name w:val="列出段落1"/>
    <w:basedOn w:val="1"/>
    <w:qFormat/>
    <w:uiPriority w:val="34"/>
    <w:pPr>
      <w:widowControl/>
      <w:ind w:left="720"/>
      <w:contextualSpacing/>
      <w:jc w:val="left"/>
    </w:pPr>
    <w:rPr>
      <w:kern w:val="0"/>
      <w:sz w:val="24"/>
      <w:lang w:eastAsia="en-US" w:bidi="en-US"/>
    </w:rPr>
  </w:style>
  <w:style w:type="paragraph" w:customStyle="1" w:styleId="115">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6">
    <w:name w:val="样式8"/>
    <w:basedOn w:val="7"/>
    <w:qFormat/>
    <w:uiPriority w:val="0"/>
    <w:pPr>
      <w:tabs>
        <w:tab w:val="left" w:pos="1152"/>
      </w:tabs>
    </w:pPr>
  </w:style>
  <w:style w:type="paragraph" w:customStyle="1" w:styleId="117">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8">
    <w:name w:val="Char Char 字元 字元 字元 Char Char Char Char"/>
    <w:basedOn w:val="1"/>
    <w:qFormat/>
    <w:uiPriority w:val="0"/>
    <w:pPr>
      <w:adjustRightInd w:val="0"/>
      <w:spacing w:line="360" w:lineRule="auto"/>
    </w:pPr>
    <w:rPr>
      <w:kern w:val="0"/>
      <w:sz w:val="24"/>
      <w:szCs w:val="20"/>
    </w:rPr>
  </w:style>
  <w:style w:type="paragraph" w:customStyle="1" w:styleId="119">
    <w:name w:val="Char Char Char Char Char Char Char Char Char Char Char Char Char1"/>
    <w:basedOn w:val="1"/>
    <w:qFormat/>
    <w:uiPriority w:val="0"/>
    <w:rPr>
      <w:sz w:val="24"/>
    </w:rPr>
  </w:style>
  <w:style w:type="paragraph" w:customStyle="1" w:styleId="12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表格"/>
    <w:basedOn w:val="1"/>
    <w:qFormat/>
    <w:uiPriority w:val="0"/>
    <w:rPr>
      <w:rFonts w:ascii="Arial" w:hAnsi="Arial"/>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样式1"/>
    <w:basedOn w:val="1"/>
    <w:qFormat/>
    <w:uiPriority w:val="0"/>
    <w:pPr>
      <w:spacing w:before="120" w:after="120" w:line="360" w:lineRule="auto"/>
      <w:ind w:firstLine="480" w:firstLineChars="200"/>
    </w:pPr>
    <w:rPr>
      <w:sz w:val="24"/>
      <w:szCs w:val="20"/>
    </w:rPr>
  </w:style>
  <w:style w:type="paragraph" w:customStyle="1" w:styleId="12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Char Char Char"/>
    <w:basedOn w:val="1"/>
    <w:qFormat/>
    <w:uiPriority w:val="0"/>
    <w:rPr>
      <w:rFonts w:ascii="Tahoma" w:hAnsi="Tahoma"/>
      <w:sz w:val="24"/>
      <w:szCs w:val="20"/>
    </w:rPr>
  </w:style>
  <w:style w:type="paragraph" w:customStyle="1" w:styleId="127">
    <w:name w:val="Char1"/>
    <w:basedOn w:val="1"/>
    <w:qFormat/>
    <w:uiPriority w:val="0"/>
    <w:pPr>
      <w:tabs>
        <w:tab w:val="left" w:pos="360"/>
      </w:tabs>
    </w:pPr>
    <w:rPr>
      <w:sz w:val="24"/>
    </w:rPr>
  </w:style>
  <w:style w:type="paragraph" w:customStyle="1" w:styleId="128">
    <w:name w:val="Header2"/>
    <w:basedOn w:val="1"/>
    <w:qFormat/>
    <w:uiPriority w:val="0"/>
    <w:pPr>
      <w:numPr>
        <w:ilvl w:val="0"/>
        <w:numId w:val="1"/>
      </w:numPr>
    </w:pPr>
  </w:style>
  <w:style w:type="paragraph" w:customStyle="1" w:styleId="129">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0">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DAS正文"/>
    <w:basedOn w:val="1"/>
    <w:qFormat/>
    <w:uiPriority w:val="0"/>
    <w:pPr>
      <w:spacing w:line="360" w:lineRule="auto"/>
      <w:ind w:right="181" w:firstLine="480" w:firstLineChars="200"/>
    </w:pPr>
    <w:rPr>
      <w:rFonts w:ascii="Verdana" w:hAnsi="Verdana"/>
      <w:sz w:val="24"/>
      <w:szCs w:val="20"/>
    </w:rPr>
  </w:style>
  <w:style w:type="table" w:customStyle="1" w:styleId="132">
    <w:name w:val="网格型1"/>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font51"/>
    <w:qFormat/>
    <w:uiPriority w:val="0"/>
    <w:rPr>
      <w:rFonts w:hint="default" w:ascii="Times New Roman" w:hAnsi="Times New Roman" w:cs="Times New Roman"/>
      <w:color w:val="000000"/>
      <w:sz w:val="20"/>
      <w:szCs w:val="20"/>
      <w:u w:val="none"/>
    </w:rPr>
  </w:style>
  <w:style w:type="character" w:customStyle="1" w:styleId="134">
    <w:name w:val="font61"/>
    <w:qFormat/>
    <w:uiPriority w:val="0"/>
    <w:rPr>
      <w:rFonts w:hint="default" w:ascii="Times New Roman" w:hAnsi="Times New Roman" w:cs="Times New Roman"/>
      <w:color w:val="000000"/>
      <w:sz w:val="21"/>
      <w:szCs w:val="21"/>
      <w:u w:val="none"/>
    </w:rPr>
  </w:style>
  <w:style w:type="character" w:customStyle="1" w:styleId="135">
    <w:name w:val="font71"/>
    <w:qFormat/>
    <w:uiPriority w:val="0"/>
    <w:rPr>
      <w:rFonts w:hint="eastAsia" w:ascii="宋体" w:hAnsi="宋体" w:eastAsia="宋体" w:cs="宋体"/>
      <w:color w:val="000000"/>
      <w:sz w:val="22"/>
      <w:szCs w:val="22"/>
      <w:u w:val="none"/>
    </w:rPr>
  </w:style>
  <w:style w:type="paragraph" w:customStyle="1" w:styleId="136">
    <w:name w:val="表格CXH"/>
    <w:basedOn w:val="1"/>
    <w:qFormat/>
    <w:uiPriority w:val="0"/>
    <w:pPr>
      <w:spacing w:line="276" w:lineRule="auto"/>
    </w:pPr>
    <w:rPr>
      <w:rFonts w:ascii="等线" w:hAnsi="等线"/>
    </w:rPr>
  </w:style>
  <w:style w:type="paragraph" w:customStyle="1" w:styleId="137">
    <w:name w:val="首行缩进"/>
    <w:basedOn w:val="1"/>
    <w:qFormat/>
    <w:uiPriority w:val="0"/>
    <w:pPr>
      <w:ind w:firstLine="480" w:firstLineChars="200"/>
    </w:pPr>
    <w:rPr>
      <w:szCs w:val="20"/>
      <w:lang w:val="zh-CN"/>
    </w:rPr>
  </w:style>
  <w:style w:type="paragraph" w:customStyle="1" w:styleId="138">
    <w:name w:val="sh3"/>
    <w:basedOn w:val="1"/>
    <w:qFormat/>
    <w:uiPriority w:val="0"/>
    <w:pPr>
      <w:spacing w:line="460" w:lineRule="exact"/>
      <w:jc w:val="left"/>
    </w:pPr>
    <w:rPr>
      <w:rFonts w:ascii="宋体" w:hAnsi="宋体"/>
      <w:b/>
      <w:szCs w:val="21"/>
    </w:rPr>
  </w:style>
  <w:style w:type="paragraph" w:customStyle="1" w:styleId="139">
    <w:name w:val="批注文字1"/>
    <w:basedOn w:val="1"/>
    <w:unhideWhenUsed/>
    <w:qFormat/>
    <w:uiPriority w:val="99"/>
    <w:pPr>
      <w:jc w:val="left"/>
    </w:pPr>
  </w:style>
  <w:style w:type="paragraph" w:customStyle="1" w:styleId="140">
    <w:name w:val="Table Paragraph"/>
    <w:basedOn w:val="1"/>
    <w:qFormat/>
    <w:uiPriority w:val="0"/>
    <w:pPr>
      <w:autoSpaceDE w:val="0"/>
      <w:autoSpaceDN w:val="0"/>
      <w:adjustRightInd w:val="0"/>
      <w:jc w:val="left"/>
    </w:pPr>
    <w:rPr>
      <w:kern w:val="0"/>
      <w:sz w:val="24"/>
    </w:rPr>
  </w:style>
  <w:style w:type="paragraph" w:customStyle="1" w:styleId="141">
    <w:name w:val="null3"/>
    <w:qFormat/>
    <w:uiPriority w:val="0"/>
    <w:rPr>
      <w:rFonts w:hint="eastAsia" w:ascii="Calibri" w:hAnsi="Calibri" w:eastAsia="宋体" w:cs="Times New Roman"/>
      <w:lang w:val="en-US" w:eastAsia="zh-Hans" w:bidi="ar-SA"/>
    </w:rPr>
  </w:style>
  <w:style w:type="paragraph" w:customStyle="1" w:styleId="142">
    <w:name w:val="_Style 3"/>
    <w:basedOn w:val="1"/>
    <w:qFormat/>
    <w:uiPriority w:val="0"/>
    <w:pPr>
      <w:ind w:firstLine="420" w:firstLineChars="200"/>
    </w:pPr>
    <w:rPr>
      <w:sz w:val="20"/>
    </w:rPr>
  </w:style>
  <w:style w:type="paragraph" w:customStyle="1" w:styleId="143">
    <w:name w:val="_Style 1"/>
    <w:basedOn w:val="1"/>
    <w:qFormat/>
    <w:uiPriority w:val="0"/>
    <w:pPr>
      <w:widowControl/>
      <w:spacing w:before="120" w:after="120"/>
      <w:ind w:left="720" w:firstLine="200" w:firstLineChars="200"/>
      <w:contextualSpacing/>
      <w:jc w:val="left"/>
    </w:pPr>
    <w:rPr>
      <w:rFonts w:ascii="Calibri" w:hAnsi="Calibri"/>
      <w:iCs/>
      <w:color w:val="17365D"/>
      <w:kern w:val="0"/>
      <w:szCs w:val="20"/>
    </w:rPr>
  </w:style>
  <w:style w:type="paragraph" w:customStyle="1" w:styleId="144">
    <w:name w:val="图例"/>
    <w:basedOn w:val="1"/>
    <w:qFormat/>
    <w:uiPriority w:val="0"/>
    <w:pPr>
      <w:spacing w:before="120" w:after="120" w:line="360" w:lineRule="auto"/>
      <w:jc w:val="center"/>
    </w:pPr>
    <w:rPr>
      <w:rFonts w:eastAsia="仿宋_GB2312"/>
      <w:b/>
      <w:sz w:val="24"/>
      <w:szCs w:val="20"/>
    </w:rPr>
  </w:style>
  <w:style w:type="paragraph" w:customStyle="1" w:styleId="145">
    <w:name w:val="Table Text"/>
    <w:basedOn w:val="1"/>
    <w:semiHidden/>
    <w:qFormat/>
    <w:uiPriority w:val="0"/>
    <w:rPr>
      <w:rFonts w:ascii="宋体" w:hAnsi="宋体" w:eastAsia="宋体" w:cs="宋体"/>
      <w:sz w:val="28"/>
      <w:szCs w:val="28"/>
      <w:lang w:val="en-US" w:eastAsia="en-US" w:bidi="ar-SA"/>
    </w:rPr>
  </w:style>
  <w:style w:type="table" w:customStyle="1" w:styleId="146">
    <w:name w:val="Table Normal"/>
    <w:semiHidden/>
    <w:unhideWhenUsed/>
    <w:qFormat/>
    <w:uiPriority w:val="0"/>
    <w:tblPr>
      <w:tblCellMar>
        <w:top w:w="0" w:type="dxa"/>
        <w:left w:w="0" w:type="dxa"/>
        <w:bottom w:w="0" w:type="dxa"/>
        <w:right w:w="0" w:type="dxa"/>
      </w:tblCellMar>
    </w:tblPr>
  </w:style>
  <w:style w:type="paragraph" w:customStyle="1" w:styleId="147">
    <w:name w:val="标题 41"/>
    <w:basedOn w:val="1"/>
    <w:next w:val="1"/>
    <w:qFormat/>
    <w:uiPriority w:val="0"/>
    <w:pPr>
      <w:keepNext/>
      <w:jc w:val="center"/>
      <w:outlineLvl w:val="3"/>
    </w:pPr>
    <w:rPr>
      <w:rFonts w:eastAsia="新宋体"/>
      <w:sz w:val="30"/>
      <w:szCs w:val="21"/>
    </w:rPr>
  </w:style>
  <w:style w:type="paragraph" w:customStyle="1" w:styleId="148">
    <w:name w:val="普通(网站)1"/>
    <w:basedOn w:val="1"/>
    <w:qFormat/>
    <w:uiPriority w:val="99"/>
    <w:pPr>
      <w:widowControl/>
      <w:spacing w:before="100" w:beforeAutospacing="1" w:after="100" w:afterAutospacing="1"/>
      <w:jc w:val="left"/>
    </w:pPr>
    <w:rPr>
      <w:rFonts w:ascii="宋体" w:hAnsi="宋体"/>
      <w:color w:val="000000"/>
      <w:sz w:val="24"/>
    </w:rPr>
  </w:style>
  <w:style w:type="paragraph" w:customStyle="1" w:styleId="149">
    <w:name w:val="正文首行缩进12"/>
    <w:basedOn w:val="150"/>
    <w:qFormat/>
    <w:uiPriority w:val="0"/>
    <w:pPr>
      <w:spacing w:line="360" w:lineRule="auto"/>
      <w:ind w:firstLine="200"/>
    </w:pPr>
    <w:rPr>
      <w:sz w:val="30"/>
      <w:szCs w:val="30"/>
    </w:rPr>
  </w:style>
  <w:style w:type="paragraph" w:customStyle="1" w:styleId="150">
    <w:name w:val="正文文本12"/>
    <w:basedOn w:val="1"/>
    <w:next w:val="1"/>
    <w:qFormat/>
    <w:uiPriority w:val="0"/>
    <w:rPr>
      <w:rFonts w:ascii="仿宋_GB2312"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15432</Words>
  <Characters>16243</Characters>
  <Lines>139</Lines>
  <Paragraphs>39</Paragraphs>
  <TotalTime>16</TotalTime>
  <ScaleCrop>false</ScaleCrop>
  <LinksUpToDate>false</LinksUpToDate>
  <CharactersWithSpaces>16398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2024-01-20T06:00:00Z</dcterms:created>
  <dc:creator>User</dc:creator>
  <cp:lastModifiedBy>Syan</cp:lastModifiedBy>
  <cp:lastPrinted>2026-04-17T08:36:00Z</cp:lastPrinted>
  <dcterms:modified xsi:type="dcterms:W3CDTF">2026-04-23T02:40:38Z</dcterms:modified>
  <dc:title>南通市Ⅹ项目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375D0E2F453345F782BB6DF87F8C6CE7_13</vt:lpwstr>
  </property>
  <property fmtid="{D5CDD505-2E9C-101B-9397-08002B2CF9AE}" pid="4" name="KSOTemplateDocerSaveRecord">
    <vt:lpwstr>eyJoZGlkIjoiMTg3N2UwNmNjMDJkYTRlMWQ4ZDQ4MDZkYWJkNDA4Y2MiLCJ1c2VySWQiOiIzNTQ2OTAxMzkifQ==</vt:lpwstr>
  </property>
</Properties>
</file>