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5B" w:rsidRDefault="00E0455B" w:rsidP="00E0455B">
      <w:pPr>
        <w:pStyle w:val="a5"/>
        <w:shd w:val="clear" w:color="auto" w:fill="FFFFFF"/>
        <w:spacing w:before="0" w:beforeAutospacing="0" w:after="60" w:afterAutospacing="0" w:line="300" w:lineRule="atLeast"/>
        <w:rPr>
          <w:rFonts w:ascii="微软雅黑" w:eastAsia="微软雅黑" w:hAnsi="微软雅黑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附件：项目需求说明</w:t>
      </w:r>
    </w:p>
    <w:tbl>
      <w:tblPr>
        <w:tblStyle w:val="a6"/>
        <w:tblW w:w="0" w:type="auto"/>
        <w:tblLook w:val="04A0"/>
      </w:tblPr>
      <w:tblGrid>
        <w:gridCol w:w="959"/>
        <w:gridCol w:w="2449"/>
        <w:gridCol w:w="2512"/>
        <w:gridCol w:w="1418"/>
        <w:gridCol w:w="1184"/>
      </w:tblGrid>
      <w:tr w:rsidR="00E0455B" w:rsidTr="00E045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</w:t>
            </w:r>
            <w:r>
              <w:rPr>
                <w:rFonts w:ascii="Arial" w:hAnsi="宋体" w:cs="Arial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货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品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产品名称及型号规格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</w:t>
            </w:r>
            <w:r>
              <w:rPr>
                <w:rFonts w:ascii="Arial" w:hAnsi="宋体" w:cs="Arial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</w:t>
            </w:r>
            <w:r>
              <w:rPr>
                <w:rFonts w:ascii="Arial" w:hAnsi="宋体" w:cs="Arial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量</w:t>
            </w:r>
          </w:p>
        </w:tc>
      </w:tr>
      <w:tr w:rsidR="00E0455B" w:rsidTr="00E045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多参数水质检测仪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DR900    HACH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</w:tr>
      <w:tr w:rsidR="00E0455B" w:rsidTr="00E045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氨氮药剂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0.02-2.5PPM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ind w:right="210"/>
              <w:jc w:val="center"/>
              <w:rPr>
                <w:rFonts w:ascii="Arial" w:eastAsiaTheme="minorEastAsia" w:hAnsi="宋体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盒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</w:tr>
      <w:tr w:rsidR="00E0455B" w:rsidTr="00E045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亚硝酸盐试剂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0.003-0.5PPM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ind w:right="315" w:firstLineChars="150" w:firstLine="315"/>
              <w:jc w:val="center"/>
              <w:rPr>
                <w:rFonts w:ascii="Arial" w:eastAsiaTheme="minorEastAsia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盒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</w:tr>
      <w:tr w:rsidR="00E0455B" w:rsidTr="00E045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恒温振荡水槽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DKZ-3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ind w:right="315" w:firstLineChars="150" w:firstLine="315"/>
              <w:jc w:val="center"/>
              <w:rPr>
                <w:rFonts w:ascii="Arial" w:eastAsiaTheme="minorEastAsia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</w:tr>
    </w:tbl>
    <w:p w:rsidR="00E0455B" w:rsidRDefault="00E0455B" w:rsidP="00E0455B">
      <w:pPr>
        <w:pStyle w:val="a5"/>
        <w:shd w:val="clear" w:color="auto" w:fill="FFFFFF"/>
        <w:spacing w:before="0" w:beforeAutospacing="0" w:after="60" w:afterAutospacing="0" w:line="300" w:lineRule="atLeast"/>
        <w:rPr>
          <w:rFonts w:ascii="微软雅黑" w:eastAsia="微软雅黑" w:hAnsi="微软雅黑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一、DR900多参数水质检测仪</w:t>
      </w:r>
    </w:p>
    <w:p w:rsidR="00E0455B" w:rsidRDefault="00E0455B" w:rsidP="00E0455B">
      <w:pPr>
        <w:spacing w:line="400" w:lineRule="exact"/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、用途</w:t>
      </w:r>
    </w:p>
    <w:p w:rsidR="00E0455B" w:rsidRDefault="00E0455B" w:rsidP="00E0455B">
      <w:pPr>
        <w:spacing w:line="400" w:lineRule="exact"/>
        <w:ind w:firstLineChars="150" w:firstLine="309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具有自动选择测试方法等功能，可用于市政污水、自来水、饮用水、环境监测、锅炉水、冷却水、水处理、工业过程监测、教育、农业等领域的水质分析。</w:t>
      </w:r>
    </w:p>
    <w:p w:rsidR="00E0455B" w:rsidRDefault="00E0455B" w:rsidP="00E0455B">
      <w:pPr>
        <w:spacing w:line="400" w:lineRule="exact"/>
        <w:ind w:firstLineChars="150" w:firstLine="309"/>
        <w:rPr>
          <w:spacing w:val="-2"/>
          <w:szCs w:val="21"/>
        </w:rPr>
      </w:pPr>
    </w:p>
    <w:p w:rsidR="00E0455B" w:rsidRDefault="00E0455B" w:rsidP="00E0455B">
      <w:pPr>
        <w:spacing w:line="400" w:lineRule="exact"/>
        <w:rPr>
          <w:b/>
          <w:szCs w:val="21"/>
        </w:rPr>
      </w:pPr>
      <w:r>
        <w:rPr>
          <w:b/>
          <w:szCs w:val="21"/>
        </w:rPr>
        <w:t>2</w:t>
      </w:r>
      <w:r>
        <w:rPr>
          <w:rFonts w:hint="eastAsia"/>
          <w:b/>
          <w:szCs w:val="21"/>
        </w:rPr>
        <w:t>、工作条件</w:t>
      </w:r>
    </w:p>
    <w:p w:rsidR="00E0455B" w:rsidRDefault="00E0455B" w:rsidP="00E0455B">
      <w:pPr>
        <w:spacing w:line="400" w:lineRule="exact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（</w:t>
      </w:r>
      <w:r>
        <w:rPr>
          <w:spacing w:val="-2"/>
          <w:szCs w:val="21"/>
        </w:rPr>
        <w:t>1</w:t>
      </w:r>
      <w:r>
        <w:rPr>
          <w:rFonts w:hint="eastAsia"/>
          <w:spacing w:val="-2"/>
          <w:szCs w:val="21"/>
        </w:rPr>
        <w:t>）电源：</w:t>
      </w:r>
      <w:r>
        <w:rPr>
          <w:szCs w:val="21"/>
        </w:rPr>
        <w:t xml:space="preserve">4 </w:t>
      </w:r>
      <w:r>
        <w:rPr>
          <w:rFonts w:hint="eastAsia"/>
          <w:szCs w:val="21"/>
        </w:rPr>
        <w:t>节</w:t>
      </w:r>
      <w:r>
        <w:rPr>
          <w:szCs w:val="21"/>
        </w:rPr>
        <w:t>AA</w:t>
      </w:r>
      <w:r>
        <w:rPr>
          <w:rFonts w:hint="eastAsia"/>
          <w:szCs w:val="21"/>
        </w:rPr>
        <w:t>电池</w:t>
      </w:r>
    </w:p>
    <w:p w:rsidR="00E0455B" w:rsidRDefault="00E0455B" w:rsidP="00E0455B">
      <w:pPr>
        <w:spacing w:line="400" w:lineRule="exact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（</w:t>
      </w:r>
      <w:r>
        <w:rPr>
          <w:spacing w:val="-2"/>
          <w:szCs w:val="21"/>
        </w:rPr>
        <w:t>2</w:t>
      </w:r>
      <w:r>
        <w:rPr>
          <w:rFonts w:hint="eastAsia"/>
          <w:spacing w:val="-2"/>
          <w:szCs w:val="21"/>
        </w:rPr>
        <w:t>）温度：</w:t>
      </w:r>
      <w:r>
        <w:rPr>
          <w:spacing w:val="-2"/>
          <w:szCs w:val="21"/>
        </w:rPr>
        <w:t>0~50</w:t>
      </w:r>
      <w:r w:rsidR="00F52DE4">
        <w:rPr>
          <w:rFonts w:ascii="宋体" w:eastAsia="宋体" w:hAnsi="宋体" w:cs="宋体" w:hint="eastAsia"/>
          <w:szCs w:val="21"/>
        </w:rPr>
        <w:t>℃</w:t>
      </w:r>
    </w:p>
    <w:p w:rsidR="00E0455B" w:rsidRDefault="00E0455B" w:rsidP="00E0455B">
      <w:pPr>
        <w:autoSpaceDE w:val="0"/>
        <w:autoSpaceDN w:val="0"/>
        <w:adjustRightInd w:val="0"/>
        <w:spacing w:line="400" w:lineRule="exact"/>
        <w:jc w:val="left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（</w:t>
      </w:r>
      <w:r>
        <w:rPr>
          <w:spacing w:val="-2"/>
          <w:szCs w:val="21"/>
        </w:rPr>
        <w:t>3</w:t>
      </w:r>
      <w:r>
        <w:rPr>
          <w:rFonts w:hint="eastAsia"/>
          <w:spacing w:val="-2"/>
          <w:szCs w:val="21"/>
        </w:rPr>
        <w:t>）湿度：相对湿度</w:t>
      </w:r>
      <w:r w:rsidR="00F52DE4">
        <w:rPr>
          <w:rFonts w:ascii="Arial" w:hAnsi="Arial" w:cs="Arial"/>
          <w:color w:val="333333"/>
          <w:sz w:val="14"/>
          <w:szCs w:val="14"/>
          <w:shd w:val="clear" w:color="auto" w:fill="FFFFFF"/>
        </w:rPr>
        <w:t>≤</w:t>
      </w:r>
      <w:r>
        <w:rPr>
          <w:szCs w:val="21"/>
        </w:rPr>
        <w:t>90%</w:t>
      </w:r>
      <w:r>
        <w:rPr>
          <w:rFonts w:hint="eastAsia"/>
          <w:szCs w:val="21"/>
        </w:rPr>
        <w:t>（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21"/>
          </w:rPr>
          <w:t>50</w:t>
        </w:r>
        <w:r>
          <w:rPr>
            <w:rFonts w:ascii="宋体" w:eastAsia="宋体" w:hAnsi="宋体" w:cs="宋体" w:hint="eastAsia"/>
            <w:szCs w:val="21"/>
          </w:rPr>
          <w:t>℃</w:t>
        </w:r>
      </w:smartTag>
      <w:r>
        <w:rPr>
          <w:rFonts w:hint="eastAsia"/>
          <w:szCs w:val="21"/>
        </w:rPr>
        <w:t>），</w:t>
      </w:r>
      <w:r>
        <w:rPr>
          <w:rFonts w:hint="eastAsia"/>
          <w:spacing w:val="-2"/>
          <w:szCs w:val="21"/>
        </w:rPr>
        <w:t>非冷凝</w:t>
      </w:r>
    </w:p>
    <w:p w:rsidR="00E0455B" w:rsidRPr="00F52DE4" w:rsidRDefault="00E0455B" w:rsidP="00E0455B">
      <w:pPr>
        <w:autoSpaceDE w:val="0"/>
        <w:autoSpaceDN w:val="0"/>
        <w:adjustRightInd w:val="0"/>
        <w:spacing w:line="400" w:lineRule="exact"/>
        <w:jc w:val="left"/>
        <w:rPr>
          <w:spacing w:val="-2"/>
          <w:szCs w:val="21"/>
        </w:rPr>
      </w:pPr>
    </w:p>
    <w:p w:rsidR="00E0455B" w:rsidRDefault="00E0455B" w:rsidP="00E0455B">
      <w:pPr>
        <w:spacing w:line="400" w:lineRule="exact"/>
        <w:rPr>
          <w:rFonts w:ascii="宋体" w:hAnsi="宋体"/>
          <w:b/>
          <w:szCs w:val="21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、技术性能指标</w:t>
      </w:r>
    </w:p>
    <w:p w:rsidR="00E0455B" w:rsidRDefault="00E0455B" w:rsidP="00E0455B">
      <w:pPr>
        <w:numPr>
          <w:ilvl w:val="0"/>
          <w:numId w:val="1"/>
        </w:numPr>
        <w:spacing w:line="400" w:lineRule="exact"/>
        <w:rPr>
          <w:spacing w:val="-2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pacing w:val="-2"/>
          <w:szCs w:val="21"/>
        </w:rPr>
        <w:t>读数模式：浓度</w:t>
      </w:r>
      <w:r>
        <w:rPr>
          <w:spacing w:val="-2"/>
          <w:szCs w:val="21"/>
        </w:rPr>
        <w:t>(mg/L</w:t>
      </w:r>
      <w:r>
        <w:rPr>
          <w:rFonts w:hint="eastAsia"/>
          <w:spacing w:val="-2"/>
          <w:szCs w:val="21"/>
        </w:rPr>
        <w:t>等</w:t>
      </w:r>
      <w:r>
        <w:rPr>
          <w:spacing w:val="-2"/>
          <w:szCs w:val="21"/>
        </w:rPr>
        <w:t>)</w:t>
      </w:r>
      <w:r>
        <w:rPr>
          <w:rFonts w:hint="eastAsia"/>
          <w:spacing w:val="-2"/>
          <w:szCs w:val="21"/>
        </w:rPr>
        <w:t>、吸光度（</w:t>
      </w:r>
      <w:r>
        <w:rPr>
          <w:spacing w:val="-2"/>
          <w:szCs w:val="21"/>
        </w:rPr>
        <w:t>Abs</w:t>
      </w:r>
      <w:r>
        <w:rPr>
          <w:rFonts w:hint="eastAsia"/>
          <w:spacing w:val="-2"/>
          <w:szCs w:val="21"/>
        </w:rPr>
        <w:t>）、透过率（</w:t>
      </w:r>
      <w:r>
        <w:rPr>
          <w:spacing w:val="-2"/>
          <w:szCs w:val="21"/>
        </w:rPr>
        <w:t>%</w:t>
      </w:r>
      <w:r>
        <w:rPr>
          <w:rFonts w:hint="eastAsia"/>
          <w:spacing w:val="-2"/>
          <w:szCs w:val="21"/>
        </w:rPr>
        <w:t>）</w:t>
      </w:r>
    </w:p>
    <w:p w:rsidR="00E0455B" w:rsidRDefault="00E0455B" w:rsidP="00E0455B">
      <w:pPr>
        <w:numPr>
          <w:ilvl w:val="0"/>
          <w:numId w:val="1"/>
        </w:numPr>
        <w:spacing w:line="400" w:lineRule="exact"/>
        <w:rPr>
          <w:spacing w:val="-2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pacing w:val="-2"/>
          <w:szCs w:val="21"/>
        </w:rPr>
        <w:t>已存储校准曲线：大于</w:t>
      </w:r>
      <w:r>
        <w:rPr>
          <w:spacing w:val="-2"/>
          <w:szCs w:val="21"/>
        </w:rPr>
        <w:t>90</w:t>
      </w:r>
      <w:r>
        <w:rPr>
          <w:rFonts w:hint="eastAsia"/>
          <w:spacing w:val="-2"/>
          <w:szCs w:val="21"/>
        </w:rPr>
        <w:t>条，可直接用于</w:t>
      </w:r>
      <w:r>
        <w:rPr>
          <w:spacing w:val="-2"/>
          <w:szCs w:val="21"/>
        </w:rPr>
        <w:t>COD</w:t>
      </w:r>
      <w:r>
        <w:rPr>
          <w:rFonts w:hint="eastAsia"/>
          <w:spacing w:val="-2"/>
          <w:szCs w:val="21"/>
        </w:rPr>
        <w:t>、氨氮、总磷、总氮</w:t>
      </w:r>
      <w:r w:rsidR="00720792">
        <w:rPr>
          <w:rFonts w:hint="eastAsia"/>
          <w:spacing w:val="-2"/>
          <w:szCs w:val="21"/>
        </w:rPr>
        <w:t>、</w:t>
      </w:r>
      <w:r>
        <w:rPr>
          <w:rFonts w:hint="eastAsia"/>
          <w:spacing w:val="-2"/>
          <w:szCs w:val="21"/>
        </w:rPr>
        <w:t>亚硝酸盐分析曲线</w:t>
      </w:r>
    </w:p>
    <w:p w:rsidR="00E0455B" w:rsidRDefault="00E0455B" w:rsidP="00E0455B">
      <w:pPr>
        <w:numPr>
          <w:ilvl w:val="0"/>
          <w:numId w:val="1"/>
        </w:numPr>
        <w:spacing w:line="400" w:lineRule="exact"/>
        <w:rPr>
          <w:spacing w:val="-2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pacing w:val="-2"/>
          <w:szCs w:val="21"/>
        </w:rPr>
        <w:t>自建曲线：</w:t>
      </w:r>
      <w:r>
        <w:rPr>
          <w:spacing w:val="-2"/>
          <w:szCs w:val="21"/>
        </w:rPr>
        <w:t>10</w:t>
      </w:r>
      <w:r>
        <w:rPr>
          <w:rFonts w:hint="eastAsia"/>
          <w:spacing w:val="-2"/>
          <w:szCs w:val="21"/>
        </w:rPr>
        <w:t>条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zCs w:val="21"/>
        </w:rPr>
        <w:t>波长范围：</w:t>
      </w:r>
      <w:r>
        <w:rPr>
          <w:szCs w:val="21"/>
        </w:rPr>
        <w:t>420nm</w:t>
      </w:r>
      <w:r>
        <w:rPr>
          <w:rFonts w:hint="eastAsia"/>
          <w:szCs w:val="21"/>
        </w:rPr>
        <w:t>，</w:t>
      </w:r>
      <w:r>
        <w:rPr>
          <w:szCs w:val="21"/>
        </w:rPr>
        <w:t>520nm</w:t>
      </w:r>
      <w:r>
        <w:rPr>
          <w:rFonts w:hint="eastAsia"/>
          <w:szCs w:val="21"/>
        </w:rPr>
        <w:t>，</w:t>
      </w:r>
      <w:r>
        <w:rPr>
          <w:szCs w:val="21"/>
        </w:rPr>
        <w:t>560nm</w:t>
      </w:r>
      <w:r>
        <w:rPr>
          <w:rFonts w:hint="eastAsia"/>
          <w:szCs w:val="21"/>
        </w:rPr>
        <w:t>，</w:t>
      </w:r>
      <w:r>
        <w:rPr>
          <w:szCs w:val="21"/>
        </w:rPr>
        <w:t>610nm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波长准确度：</w:t>
      </w:r>
      <w:r>
        <w:rPr>
          <w:szCs w:val="21"/>
        </w:rPr>
        <w:t>±1 nm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zCs w:val="21"/>
        </w:rPr>
        <w:t>波长选择：</w:t>
      </w:r>
      <w:r>
        <w:rPr>
          <w:rFonts w:hint="eastAsia"/>
          <w:spacing w:val="-2"/>
        </w:rPr>
        <w:t>基于测试方法的自动选择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光度测量范围：</w:t>
      </w:r>
      <w:r>
        <w:rPr>
          <w:szCs w:val="21"/>
        </w:rPr>
        <w:t>0~</w:t>
      </w:r>
      <w:smartTag w:uri="urn:schemas-microsoft-com:office:smarttags" w:element="chmetcnv">
        <w:smartTagPr>
          <w:attr w:name="UnitName" w:val="a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szCs w:val="21"/>
          </w:rPr>
          <w:t>2 A</w:t>
        </w:r>
      </w:smartTag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光度测量线性：</w:t>
      </w:r>
      <w:r>
        <w:rPr>
          <w:szCs w:val="21"/>
        </w:rPr>
        <w:t>±</w:t>
      </w:r>
      <w:smartTag w:uri="urn:schemas-microsoft-com:office:smarttags" w:element="chmetcnv">
        <w:smartTagPr>
          <w:attr w:name="UnitName" w:val="a"/>
          <w:attr w:name="SourceValue" w:val=".002"/>
          <w:attr w:name="HasSpace" w:val="True"/>
          <w:attr w:name="Negative" w:val="False"/>
          <w:attr w:name="NumberType" w:val="1"/>
          <w:attr w:name="TCSC" w:val="0"/>
        </w:smartTagPr>
        <w:r>
          <w:rPr>
            <w:szCs w:val="21"/>
          </w:rPr>
          <w:t>0.002 A</w:t>
        </w:r>
      </w:smartTag>
      <w:r>
        <w:rPr>
          <w:rFonts w:hint="eastAsia"/>
          <w:szCs w:val="21"/>
        </w:rPr>
        <w:t>（</w:t>
      </w:r>
      <w:r>
        <w:rPr>
          <w:szCs w:val="21"/>
        </w:rPr>
        <w:t>0~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rPr>
            <w:szCs w:val="21"/>
          </w:rPr>
          <w:t>1 A</w:t>
        </w:r>
      </w:smartTag>
      <w:r>
        <w:rPr>
          <w:rFonts w:hint="eastAsia"/>
          <w:szCs w:val="21"/>
        </w:rPr>
        <w:t>）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光度测量重复性：</w:t>
      </w:r>
      <w:r>
        <w:rPr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005"/>
          <w:attr w:name="UnitName" w:val="a"/>
        </w:smartTagPr>
        <w:r>
          <w:rPr>
            <w:szCs w:val="21"/>
          </w:rPr>
          <w:t>0.005 A</w:t>
        </w:r>
      </w:smartTag>
      <w:r>
        <w:rPr>
          <w:rFonts w:hint="eastAsia"/>
          <w:szCs w:val="21"/>
        </w:rPr>
        <w:t>（</w:t>
      </w:r>
      <w:r>
        <w:rPr>
          <w:szCs w:val="21"/>
        </w:rPr>
        <w:t>0~1 A</w:t>
      </w:r>
      <w:r>
        <w:rPr>
          <w:rFonts w:hint="eastAsia"/>
          <w:szCs w:val="21"/>
        </w:rPr>
        <w:t>）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光度测量准确度：</w:t>
      </w:r>
      <w:r>
        <w:rPr>
          <w:szCs w:val="21"/>
        </w:rPr>
        <w:t>±</w:t>
      </w:r>
      <w:smartTag w:uri="urn:schemas-microsoft-com:office:smarttags" w:element="chmetcnv">
        <w:smartTagPr>
          <w:attr w:name="UnitName" w:val="a"/>
          <w:attr w:name="SourceValue" w:val=".005"/>
          <w:attr w:name="HasSpace" w:val="True"/>
          <w:attr w:name="Negative" w:val="False"/>
          <w:attr w:name="NumberType" w:val="1"/>
          <w:attr w:name="TCSC" w:val="0"/>
        </w:smartTagPr>
        <w:r>
          <w:rPr>
            <w:szCs w:val="21"/>
          </w:rPr>
          <w:t>0.005 A</w:t>
        </w:r>
      </w:smartTag>
      <w:r>
        <w:rPr>
          <w:rFonts w:hint="eastAsia"/>
          <w:szCs w:val="21"/>
        </w:rPr>
        <w:t>（</w:t>
      </w:r>
      <w:r>
        <w:rPr>
          <w:szCs w:val="21"/>
        </w:rPr>
        <w:t>1.0Abs</w:t>
      </w:r>
      <w:r>
        <w:rPr>
          <w:rFonts w:hint="eastAsia"/>
          <w:szCs w:val="21"/>
        </w:rPr>
        <w:t>时）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光源：发光二极管（</w:t>
      </w:r>
      <w:r>
        <w:rPr>
          <w:szCs w:val="21"/>
        </w:rPr>
        <w:t>LED</w:t>
      </w:r>
      <w:r>
        <w:rPr>
          <w:rFonts w:hint="eastAsia"/>
          <w:szCs w:val="21"/>
        </w:rPr>
        <w:t>）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检测器：硅光电二极管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散射光：</w:t>
      </w:r>
      <w:r>
        <w:rPr>
          <w:szCs w:val="21"/>
        </w:rPr>
        <w:t xml:space="preserve">400nm </w:t>
      </w:r>
      <w:r>
        <w:rPr>
          <w:rFonts w:hint="eastAsia"/>
          <w:szCs w:val="21"/>
        </w:rPr>
        <w:t>时，小于</w:t>
      </w:r>
      <w:r>
        <w:rPr>
          <w:szCs w:val="21"/>
        </w:rPr>
        <w:t>1.0%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pacing w:val="-2"/>
          <w:szCs w:val="21"/>
        </w:rPr>
        <w:t>数据存储：</w:t>
      </w:r>
      <w:r>
        <w:rPr>
          <w:spacing w:val="-2"/>
          <w:szCs w:val="21"/>
        </w:rPr>
        <w:t>500</w:t>
      </w:r>
      <w:r>
        <w:rPr>
          <w:rFonts w:hint="eastAsia"/>
          <w:spacing w:val="-2"/>
          <w:szCs w:val="21"/>
        </w:rPr>
        <w:t>条，自动存储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pacing w:val="-2"/>
          <w:szCs w:val="21"/>
        </w:rPr>
        <w:t>接口：</w:t>
      </w:r>
      <w:r>
        <w:rPr>
          <w:spacing w:val="-2"/>
          <w:szCs w:val="21"/>
        </w:rPr>
        <w:t>mini USB</w:t>
      </w:r>
      <w:r>
        <w:rPr>
          <w:rFonts w:hint="eastAsia"/>
          <w:spacing w:val="-2"/>
          <w:szCs w:val="21"/>
        </w:rPr>
        <w:t>接口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仪器重量：</w:t>
      </w:r>
      <w:r>
        <w:rPr>
          <w:szCs w:val="21"/>
        </w:rPr>
        <w:t>0.6 kg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★</w:t>
      </w:r>
      <w:r>
        <w:rPr>
          <w:rFonts w:hint="eastAsia"/>
          <w:szCs w:val="21"/>
        </w:rPr>
        <w:t>认证：</w:t>
      </w:r>
      <w:r>
        <w:rPr>
          <w:szCs w:val="21"/>
        </w:rPr>
        <w:t>CE</w:t>
      </w:r>
      <w:r>
        <w:rPr>
          <w:rFonts w:hint="eastAsia"/>
          <w:szCs w:val="21"/>
        </w:rPr>
        <w:t>认证</w:t>
      </w:r>
    </w:p>
    <w:p w:rsidR="00E0455B" w:rsidRDefault="00E0455B" w:rsidP="00E0455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★</w:t>
      </w:r>
      <w:r>
        <w:rPr>
          <w:rFonts w:hint="eastAsia"/>
          <w:szCs w:val="21"/>
        </w:rPr>
        <w:t>防护等级：</w:t>
      </w:r>
      <w:r>
        <w:rPr>
          <w:szCs w:val="21"/>
        </w:rPr>
        <w:t>IP67</w:t>
      </w:r>
      <w:r>
        <w:rPr>
          <w:rFonts w:hint="eastAsia"/>
          <w:szCs w:val="21"/>
        </w:rPr>
        <w:t>，防尘，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21"/>
          </w:rPr>
          <w:t>1</w:t>
        </w:r>
        <w:r>
          <w:rPr>
            <w:rFonts w:hint="eastAsia"/>
            <w:szCs w:val="21"/>
          </w:rPr>
          <w:t>米</w:t>
        </w:r>
      </w:smartTag>
      <w:r>
        <w:rPr>
          <w:rFonts w:hint="eastAsia"/>
          <w:szCs w:val="21"/>
        </w:rPr>
        <w:t>水深下防水</w:t>
      </w:r>
      <w:r>
        <w:rPr>
          <w:szCs w:val="21"/>
        </w:rPr>
        <w:t>30min</w:t>
      </w:r>
    </w:p>
    <w:p w:rsidR="00E0455B" w:rsidRDefault="00E0455B" w:rsidP="00E0455B">
      <w:pPr>
        <w:spacing w:line="288" w:lineRule="auto"/>
        <w:rPr>
          <w:szCs w:val="21"/>
        </w:rPr>
      </w:pPr>
    </w:p>
    <w:p w:rsidR="00E0455B" w:rsidRDefault="00E0455B" w:rsidP="00E0455B">
      <w:pPr>
        <w:widowControl/>
        <w:autoSpaceDE w:val="0"/>
        <w:autoSpaceDN w:val="0"/>
        <w:spacing w:line="20" w:lineRule="atLeast"/>
        <w:textAlignment w:val="bottom"/>
        <w:rPr>
          <w:b/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、配置要求</w:t>
      </w:r>
    </w:p>
    <w:p w:rsidR="00E0455B" w:rsidRDefault="00E0455B" w:rsidP="00E0455B">
      <w:pPr>
        <w:autoSpaceDE w:val="0"/>
        <w:autoSpaceDN w:val="0"/>
        <w:adjustRightInd w:val="0"/>
        <w:spacing w:line="400" w:lineRule="exact"/>
        <w:jc w:val="left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（</w:t>
      </w:r>
      <w:r>
        <w:rPr>
          <w:spacing w:val="-2"/>
          <w:szCs w:val="21"/>
        </w:rPr>
        <w:t>1</w:t>
      </w:r>
      <w:r>
        <w:rPr>
          <w:rFonts w:hint="eastAsia"/>
          <w:spacing w:val="-2"/>
          <w:szCs w:val="21"/>
        </w:rPr>
        <w:t>）标准配置：</w:t>
      </w:r>
    </w:p>
    <w:p w:rsidR="00E0455B" w:rsidRDefault="00E0455B" w:rsidP="00E0455B">
      <w:pPr>
        <w:autoSpaceDE w:val="0"/>
        <w:autoSpaceDN w:val="0"/>
        <w:adjustRightInd w:val="0"/>
        <w:spacing w:line="400" w:lineRule="exact"/>
        <w:ind w:left="420"/>
        <w:jc w:val="left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仪器主机；</w:t>
      </w:r>
      <w:r>
        <w:rPr>
          <w:spacing w:val="-2"/>
          <w:szCs w:val="21"/>
        </w:rPr>
        <w:t>25mm</w:t>
      </w:r>
      <w:r>
        <w:rPr>
          <w:rFonts w:hint="eastAsia"/>
          <w:spacing w:val="-2"/>
          <w:szCs w:val="21"/>
        </w:rPr>
        <w:t>圆形玻璃样品瓶（</w:t>
      </w:r>
      <w:r>
        <w:rPr>
          <w:spacing w:val="-2"/>
          <w:szCs w:val="21"/>
        </w:rPr>
        <w:t>2</w:t>
      </w:r>
      <w:r>
        <w:rPr>
          <w:rFonts w:hint="eastAsia"/>
          <w:spacing w:val="-2"/>
          <w:szCs w:val="21"/>
        </w:rPr>
        <w:t>只）；</w:t>
      </w:r>
      <w:r>
        <w:rPr>
          <w:spacing w:val="-2"/>
          <w:szCs w:val="21"/>
        </w:rPr>
        <w:t>1cm/10mL</w:t>
      </w:r>
      <w:r>
        <w:rPr>
          <w:rFonts w:hint="eastAsia"/>
          <w:spacing w:val="-2"/>
          <w:szCs w:val="21"/>
        </w:rPr>
        <w:t>塑料样品池（</w:t>
      </w:r>
      <w:r>
        <w:rPr>
          <w:spacing w:val="-2"/>
          <w:szCs w:val="21"/>
        </w:rPr>
        <w:t>2</w:t>
      </w:r>
      <w:r>
        <w:rPr>
          <w:rFonts w:hint="eastAsia"/>
          <w:spacing w:val="-2"/>
          <w:szCs w:val="21"/>
        </w:rPr>
        <w:t>只）；</w:t>
      </w:r>
      <w:r>
        <w:rPr>
          <w:spacing w:val="-2"/>
          <w:szCs w:val="21"/>
        </w:rPr>
        <w:t>COD</w:t>
      </w:r>
      <w:r>
        <w:rPr>
          <w:rFonts w:hint="eastAsia"/>
          <w:spacing w:val="-2"/>
          <w:szCs w:val="21"/>
        </w:rPr>
        <w:t>比色皿适配器；标准</w:t>
      </w:r>
      <w:r>
        <w:rPr>
          <w:spacing w:val="-2"/>
          <w:szCs w:val="21"/>
        </w:rPr>
        <w:t>USB</w:t>
      </w:r>
      <w:r>
        <w:rPr>
          <w:rFonts w:hint="eastAsia"/>
          <w:spacing w:val="-2"/>
          <w:szCs w:val="21"/>
        </w:rPr>
        <w:t>线缆，带</w:t>
      </w:r>
      <w:r>
        <w:rPr>
          <w:spacing w:val="-2"/>
          <w:szCs w:val="21"/>
        </w:rPr>
        <w:t>mini-USB</w:t>
      </w:r>
      <w:r>
        <w:rPr>
          <w:rFonts w:hint="eastAsia"/>
          <w:spacing w:val="-2"/>
          <w:szCs w:val="21"/>
        </w:rPr>
        <w:t>接头；用户手册；碱性电池；</w:t>
      </w:r>
      <w:r>
        <w:rPr>
          <w:spacing w:val="-2"/>
          <w:szCs w:val="21"/>
        </w:rPr>
        <w:t>CD</w:t>
      </w:r>
      <w:r>
        <w:rPr>
          <w:rFonts w:hint="eastAsia"/>
          <w:spacing w:val="-2"/>
          <w:szCs w:val="21"/>
        </w:rPr>
        <w:t>说明书；配氨氮</w:t>
      </w:r>
      <w:r>
        <w:rPr>
          <w:spacing w:val="-2"/>
          <w:szCs w:val="21"/>
        </w:rPr>
        <w:t>,</w:t>
      </w:r>
      <w:r>
        <w:rPr>
          <w:rFonts w:hint="eastAsia"/>
          <w:spacing w:val="-2"/>
          <w:szCs w:val="21"/>
        </w:rPr>
        <w:t>亚硝酸试剂。</w:t>
      </w:r>
    </w:p>
    <w:p w:rsidR="00E0455B" w:rsidRDefault="00E0455B" w:rsidP="00E0455B">
      <w:pPr>
        <w:pStyle w:val="a5"/>
        <w:shd w:val="clear" w:color="auto" w:fill="FFFFFF"/>
        <w:spacing w:before="0" w:beforeAutospacing="0" w:after="60" w:afterAutospacing="0" w:line="300" w:lineRule="atLeast"/>
        <w:rPr>
          <w:rFonts w:ascii="微软雅黑" w:eastAsia="微软雅黑" w:hAnsi="微软雅黑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二、恒温振荡水槽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1、用途概述：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广泛应用于对振荡和温度精确性有较高要求的实验室研究工作中,如细菌培养、发酵、杂交、化学和生化反应、酶和组织研究等。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产品特点：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 采用不锈钢内胆、顶盖，防腐蚀、易清洁。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 微电脑PID温度控制器，控温精确可靠，带定时。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 超温声光跟踪报警，使样品得到可靠保护，不发生意外。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 采用无级调速的交流减速电动机，能直接驱动摇床，且高线性度，噪声低。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 振荡架可以简单拆卸，方便客户清洗。</w:t>
      </w:r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 自我诊断功能（加热器断路、传感器异常、上下限温度报警）。</w:t>
      </w:r>
      <w:bookmarkStart w:id="0" w:name="_GoBack"/>
      <w:bookmarkEnd w:id="0"/>
    </w:p>
    <w:p w:rsidR="00E0455B" w:rsidRDefault="00E0455B" w:rsidP="00E0455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技术参数：</w:t>
      </w:r>
    </w:p>
    <w:tbl>
      <w:tblPr>
        <w:tblW w:w="73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264"/>
        <w:gridCol w:w="5080"/>
      </w:tblGrid>
      <w:tr w:rsidR="00E0455B" w:rsidTr="00E0455B">
        <w:trPr>
          <w:trHeight w:val="366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型号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DKZ-3</w:t>
            </w:r>
          </w:p>
        </w:tc>
      </w:tr>
      <w:tr w:rsidR="00E0455B" w:rsidTr="00E0455B">
        <w:trPr>
          <w:trHeight w:val="316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温度范围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RT+5～99℃</w:t>
            </w:r>
          </w:p>
        </w:tc>
      </w:tr>
      <w:tr w:rsidR="00E0455B" w:rsidTr="00E0455B">
        <w:trPr>
          <w:trHeight w:val="421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温度分辨率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0.1℃</w:t>
            </w:r>
          </w:p>
        </w:tc>
      </w:tr>
      <w:tr w:rsidR="00E0455B" w:rsidTr="00E0455B">
        <w:trPr>
          <w:trHeight w:val="215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温度均匀性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±1℃</w:t>
            </w:r>
          </w:p>
        </w:tc>
      </w:tr>
      <w:tr w:rsidR="00E0455B" w:rsidTr="00E0455B">
        <w:trPr>
          <w:trHeight w:val="300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振荡频率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30～180rpm</w:t>
            </w:r>
          </w:p>
        </w:tc>
      </w:tr>
      <w:tr w:rsidR="00E0455B" w:rsidTr="00E0455B">
        <w:trPr>
          <w:trHeight w:val="290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振幅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30mm或40mm可选（需订单中注明）</w:t>
            </w:r>
          </w:p>
        </w:tc>
      </w:tr>
      <w:tr w:rsidR="00E0455B" w:rsidTr="00E0455B">
        <w:trPr>
          <w:trHeight w:val="290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电源电压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AC220V 50HZ</w:t>
            </w:r>
          </w:p>
        </w:tc>
      </w:tr>
      <w:tr w:rsidR="00E0455B" w:rsidTr="00E0455B">
        <w:trPr>
          <w:trHeight w:val="292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输入功率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1650W</w:t>
            </w:r>
          </w:p>
        </w:tc>
      </w:tr>
      <w:tr w:rsidR="00E0455B" w:rsidTr="00E0455B">
        <w:trPr>
          <w:trHeight w:val="460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内胆尺寸（mm）W×D×H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618×310×250</w:t>
            </w:r>
          </w:p>
        </w:tc>
      </w:tr>
      <w:tr w:rsidR="00E0455B" w:rsidTr="00E0455B">
        <w:trPr>
          <w:trHeight w:val="290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外形尺寸（mm）W×D×H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5B" w:rsidRDefault="00E0455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221E1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1E1F"/>
                <w:kern w:val="0"/>
                <w:sz w:val="18"/>
                <w:szCs w:val="18"/>
              </w:rPr>
              <w:t>823×350×355</w:t>
            </w:r>
          </w:p>
        </w:tc>
      </w:tr>
    </w:tbl>
    <w:p w:rsidR="00DF0229" w:rsidRDefault="00DF0229"/>
    <w:sectPr w:rsidR="00DF0229" w:rsidSect="00E9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28" w:rsidRDefault="009C5528" w:rsidP="00E0455B">
      <w:r>
        <w:separator/>
      </w:r>
    </w:p>
  </w:endnote>
  <w:endnote w:type="continuationSeparator" w:id="1">
    <w:p w:rsidR="009C5528" w:rsidRDefault="009C5528" w:rsidP="00E0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28" w:rsidRDefault="009C5528" w:rsidP="00E0455B">
      <w:r>
        <w:separator/>
      </w:r>
    </w:p>
  </w:footnote>
  <w:footnote w:type="continuationSeparator" w:id="1">
    <w:p w:rsidR="009C5528" w:rsidRDefault="009C5528" w:rsidP="00E0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6F6F"/>
    <w:multiLevelType w:val="hybridMultilevel"/>
    <w:tmpl w:val="AB1E3F4A"/>
    <w:lvl w:ilvl="0" w:tplc="479A7538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55B"/>
    <w:rsid w:val="004969D5"/>
    <w:rsid w:val="00720792"/>
    <w:rsid w:val="009C5528"/>
    <w:rsid w:val="00AD623C"/>
    <w:rsid w:val="00DF0229"/>
    <w:rsid w:val="00E0455B"/>
    <w:rsid w:val="00E918AB"/>
    <w:rsid w:val="00F5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5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45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0455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2021-07-30T05:55:00Z</dcterms:created>
  <dcterms:modified xsi:type="dcterms:W3CDTF">2021-07-30T07:33:00Z</dcterms:modified>
</cp:coreProperties>
</file>