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 xml:space="preserve">附件3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黑体_GBK" w:hAnsi="方正黑体_GBK" w:eastAsia="方正黑体_GBK" w:cs="方正黑体_GBK"/>
          <w:sz w:val="32"/>
          <w:szCs w:val="40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52"/>
          <w:lang w:val="en-US" w:eastAsia="zh-CN"/>
        </w:rPr>
        <w:t>填表</w:t>
      </w:r>
      <w:r>
        <w:rPr>
          <w:rFonts w:hint="default" w:ascii="Times New Roman" w:hAnsi="Times New Roman" w:eastAsia="方正小标宋_GBK" w:cs="Times New Roman"/>
          <w:sz w:val="44"/>
          <w:szCs w:val="52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40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40"/>
          <w:lang w:val="en-US" w:eastAsia="zh-CN"/>
        </w:rPr>
        <w:t>一、附件1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“申请单位（个人）”</w:t>
      </w: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应填写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完整的申请年审单位、个人全称，个人申请无需填写“法人代表”</w:t>
      </w: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；“地址”应与证书第一页地址一致；“有效期”应与证书中明确的有效日期一致；“年审时间段”应为上一次年审日期（如首次年审则为发证日期）至证书第三页写明的“有效期截止时间”；涉及物种计量的栏目请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逐一填写</w:t>
      </w: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“各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物种</w:t>
      </w: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的</w:t>
      </w: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完整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中文学名</w:t>
      </w: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和对应数量，并根据物种特性写明计量单位，如条、只、个、株、尾、头等；“上年度各物种存栏量”应与证书第三页附录中上年度核定的数量一致，“本年度各物种繁育量”应填写年度内繁育成活的物种数量，附件1中填写数量应均与附件2中填写的数量保持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所填数据应满足条件：上年度各物种存栏量+本年度各物种繁育量+本年度新引进各物种量—本年度经营利用量（出售）—死亡物种数量=当前各物种存栏量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40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40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“地址”应与证书第一页写明的地址一致；“技术人员”如果为申请人本人，可不填写；场地总面积应与申请证书时提供的场所面积信息一致；“水域总面积”应为利用物种活动场所的平面积，立体饲养则填写水体体积；“养殖设施设备”应填写用于物种人工繁育、经营利用的主要设施、设备及数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“物种名称”请逐个填写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完整</w:t>
      </w: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的物种中文学名，涉及数量应写明计量单位，写明物种来源单位名称（与营业执照或身份证件一致）；写明“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产蛋卵数量</w:t>
      </w: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”、“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蛋卵孵化</w:t>
      </w: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数量”、“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繁育成活数量</w:t>
      </w: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”，如难以精准计数则填写“约+估测数”；“死亡原因”包括疾病、衰老、意外事件等，“处置方式”可填写焚烧、掩埋等，“死亡物种来源”包括自繁、xx养殖场引进、进口等；“购买单位/个人名称”应向购买方核实并与其营业执照或身份证件一致，“购买目的”应询问清楚并填写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引种繁育、展览、表演、科研、商业性利用等</w:t>
      </w:r>
      <w:r>
        <w:rPr>
          <w:rFonts w:hint="eastAsia" w:ascii="Times New Roman" w:hAnsi="Times New Roman" w:eastAsia="方正仿宋_GBK" w:cs="Times New Roman"/>
          <w:sz w:val="32"/>
          <w:szCs w:val="40"/>
          <w:lang w:val="en-US" w:eastAsia="zh-CN"/>
        </w:rPr>
        <w:t>。无相关情况的，填写“无”。</w:t>
      </w:r>
      <w:bookmarkStart w:id="0" w:name="_GoBack"/>
      <w:bookmarkEnd w:id="0"/>
    </w:p>
    <w:sectPr>
      <w:pgSz w:w="11906" w:h="16838"/>
      <w:pgMar w:top="181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C05361"/>
    <w:multiLevelType w:val="singleLevel"/>
    <w:tmpl w:val="E7C0536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B3323"/>
    <w:rsid w:val="11FD3D7D"/>
    <w:rsid w:val="22653106"/>
    <w:rsid w:val="40A6456B"/>
    <w:rsid w:val="55860CC4"/>
    <w:rsid w:val="57EE48F5"/>
    <w:rsid w:val="59C42C18"/>
    <w:rsid w:val="607E2B2A"/>
    <w:rsid w:val="65491EF6"/>
    <w:rsid w:val="7BA8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2023-07-18T07:45:00Z</dcterms:created>
  <dc:creator>Administrator</dc:creator>
  <cp:lastModifiedBy>Administrator</cp:lastModifiedBy>
  <dcterms:modified xsi:type="dcterms:W3CDTF">2023-07-27T03:05:36Z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CEB5DB8C6AEA4E50B6D3B6DC663CA854</vt:lpwstr>
  </property>
</Properties>
</file>