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8"/>
          <w:szCs w:val="28"/>
        </w:rPr>
      </w:pPr>
      <w:bookmarkStart w:id="250" w:name="_GoBack"/>
      <w:bookmarkEnd w:id="250"/>
    </w:p>
    <w:p>
      <w:pPr>
        <w:spacing w:line="360" w:lineRule="auto"/>
        <w:jc w:val="center"/>
        <w:rPr>
          <w:rFonts w:hint="eastAsia" w:ascii="华文中宋" w:hAnsi="华文中宋" w:eastAsia="华文中宋" w:cs="Times New Roman"/>
          <w:b/>
          <w:sz w:val="56"/>
          <w:szCs w:val="56"/>
          <w:lang w:eastAsia="zh-CN"/>
        </w:rPr>
      </w:pPr>
      <w:r>
        <w:rPr>
          <w:rFonts w:hint="eastAsia" w:ascii="华文中宋" w:hAnsi="华文中宋" w:eastAsia="华文中宋" w:cs="Times New Roman"/>
          <w:b/>
          <w:sz w:val="56"/>
          <w:szCs w:val="56"/>
          <w:lang w:eastAsia="zh-CN"/>
        </w:rPr>
        <w:t>南通市农产品质量检验测试中心标准物质采购项目</w:t>
      </w:r>
    </w:p>
    <w:p>
      <w:pPr>
        <w:spacing w:line="360" w:lineRule="auto"/>
        <w:jc w:val="center"/>
        <w:rPr>
          <w:rFonts w:hint="eastAsia" w:ascii="仿宋" w:hAnsi="仿宋" w:eastAsia="仿宋" w:cs="仿宋"/>
          <w:b/>
          <w:sz w:val="28"/>
          <w:szCs w:val="28"/>
        </w:rPr>
      </w:pPr>
    </w:p>
    <w:p>
      <w:pPr>
        <w:spacing w:line="360" w:lineRule="auto"/>
        <w:jc w:val="center"/>
        <w:rPr>
          <w:rFonts w:ascii="仿宋" w:hAnsi="仿宋" w:eastAsia="仿宋" w:cs="仿宋"/>
          <w:b/>
          <w:sz w:val="28"/>
          <w:szCs w:val="28"/>
        </w:rPr>
      </w:pPr>
    </w:p>
    <w:p>
      <w:pPr>
        <w:autoSpaceDE w:val="0"/>
        <w:autoSpaceDN w:val="0"/>
        <w:adjustRightInd w:val="0"/>
        <w:jc w:val="center"/>
        <w:rPr>
          <w:rFonts w:ascii="华文中宋" w:hAnsi="华文中宋" w:eastAsia="华文中宋" w:cs="仿宋"/>
          <w:b/>
          <w:bCs/>
          <w:sz w:val="56"/>
          <w:szCs w:val="72"/>
        </w:rPr>
      </w:pPr>
      <w:r>
        <w:rPr>
          <w:rFonts w:hint="eastAsia" w:ascii="华文中宋" w:hAnsi="华文中宋" w:eastAsia="华文中宋" w:cs="仿宋"/>
          <w:b/>
          <w:bCs/>
          <w:sz w:val="56"/>
          <w:szCs w:val="72"/>
          <w:lang w:val="zh-CN"/>
        </w:rPr>
        <w:t>询价文件</w:t>
      </w: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8"/>
          <w:szCs w:val="28"/>
        </w:rPr>
      </w:pPr>
    </w:p>
    <w:p>
      <w:pPr>
        <w:spacing w:line="360" w:lineRule="auto"/>
        <w:rPr>
          <w:rFonts w:ascii="仿宋" w:hAnsi="仿宋" w:eastAsia="仿宋" w:cs="仿宋"/>
          <w:b/>
          <w:sz w:val="28"/>
          <w:szCs w:val="28"/>
        </w:rPr>
      </w:pPr>
    </w:p>
    <w:p>
      <w:pPr>
        <w:spacing w:line="360" w:lineRule="auto"/>
        <w:rPr>
          <w:rFonts w:ascii="仿宋" w:hAnsi="仿宋" w:eastAsia="仿宋" w:cs="仿宋"/>
          <w:b/>
          <w:sz w:val="28"/>
          <w:szCs w:val="28"/>
        </w:rPr>
      </w:pPr>
    </w:p>
    <w:p>
      <w:pPr>
        <w:spacing w:line="360" w:lineRule="auto"/>
        <w:rPr>
          <w:rFonts w:ascii="仿宋" w:hAnsi="仿宋" w:eastAsia="仿宋" w:cs="仿宋"/>
          <w:b/>
          <w:sz w:val="28"/>
          <w:szCs w:val="28"/>
        </w:rPr>
      </w:pPr>
    </w:p>
    <w:p>
      <w:pPr>
        <w:spacing w:line="360" w:lineRule="auto"/>
        <w:rPr>
          <w:rFonts w:ascii="仿宋" w:hAnsi="仿宋" w:eastAsia="仿宋" w:cs="仿宋"/>
          <w:b/>
          <w:sz w:val="28"/>
          <w:szCs w:val="28"/>
        </w:rPr>
      </w:pPr>
    </w:p>
    <w:p>
      <w:pPr>
        <w:spacing w:line="360" w:lineRule="auto"/>
        <w:rPr>
          <w:rFonts w:ascii="仿宋" w:hAnsi="仿宋" w:eastAsia="仿宋" w:cs="仿宋"/>
          <w:b/>
          <w:sz w:val="28"/>
          <w:szCs w:val="28"/>
        </w:rPr>
      </w:pPr>
    </w:p>
    <w:p>
      <w:pPr>
        <w:spacing w:line="360" w:lineRule="auto"/>
        <w:rPr>
          <w:rFonts w:ascii="仿宋" w:hAnsi="仿宋" w:eastAsia="仿宋" w:cs="仿宋"/>
          <w:b/>
          <w:sz w:val="28"/>
          <w:szCs w:val="28"/>
        </w:rPr>
      </w:pPr>
    </w:p>
    <w:p>
      <w:pPr>
        <w:spacing w:line="560" w:lineRule="exact"/>
        <w:jc w:val="center"/>
        <w:rPr>
          <w:rFonts w:hint="eastAsia" w:ascii="华文中宋" w:hAnsi="华文中宋" w:eastAsia="华文中宋" w:cs="仿宋"/>
          <w:b/>
          <w:sz w:val="28"/>
          <w:szCs w:val="28"/>
        </w:rPr>
      </w:pPr>
    </w:p>
    <w:p>
      <w:pPr>
        <w:spacing w:line="560" w:lineRule="exact"/>
        <w:jc w:val="center"/>
        <w:rPr>
          <w:rFonts w:ascii="华文中宋" w:hAnsi="华文中宋" w:eastAsia="华文中宋" w:cs="仿宋"/>
          <w:b/>
          <w:sz w:val="28"/>
          <w:szCs w:val="28"/>
        </w:rPr>
      </w:pPr>
      <w:r>
        <w:rPr>
          <w:rFonts w:hint="eastAsia" w:ascii="华文中宋" w:hAnsi="华文中宋" w:eastAsia="华文中宋" w:cs="仿宋"/>
          <w:b/>
          <w:sz w:val="28"/>
          <w:szCs w:val="28"/>
        </w:rPr>
        <w:t>二○二三年十一月</w:t>
      </w:r>
      <w:r>
        <w:rPr>
          <w:rFonts w:hint="eastAsia" w:ascii="华文中宋" w:hAnsi="华文中宋" w:eastAsia="华文中宋" w:cs="仿宋"/>
          <w:b/>
          <w:sz w:val="28"/>
          <w:szCs w:val="28"/>
          <w:lang w:val="en-US" w:eastAsia="zh-CN"/>
        </w:rPr>
        <w:t>二十一</w:t>
      </w:r>
      <w:r>
        <w:rPr>
          <w:rFonts w:hint="eastAsia" w:ascii="华文中宋" w:hAnsi="华文中宋" w:eastAsia="华文中宋" w:cs="仿宋"/>
          <w:b/>
          <w:sz w:val="28"/>
          <w:szCs w:val="28"/>
        </w:rPr>
        <w:t>日</w:t>
      </w:r>
    </w:p>
    <w:p>
      <w:pPr>
        <w:pBdr>
          <w:bottom w:val="single" w:color="auto" w:sz="4" w:space="1"/>
        </w:pBdr>
        <w:adjustRightInd w:val="0"/>
        <w:snapToGrid w:val="0"/>
        <w:spacing w:line="520" w:lineRule="exact"/>
        <w:ind w:left="-158" w:leftChars="-75"/>
        <w:rPr>
          <w:rFonts w:ascii="华文中宋" w:hAnsi="华文中宋" w:eastAsia="华文中宋" w:cs="仿宋"/>
          <w:b/>
          <w:snapToGrid w:val="0"/>
          <w:sz w:val="28"/>
          <w:szCs w:val="28"/>
          <w:u w:val="single"/>
        </w:rPr>
      </w:pPr>
      <w:r>
        <w:rPr>
          <w:rFonts w:hint="eastAsia" w:ascii="华文中宋" w:hAnsi="华文中宋" w:eastAsia="华文中宋" w:cs="仿宋"/>
          <w:b/>
          <w:snapToGrid w:val="0"/>
          <w:sz w:val="28"/>
          <w:szCs w:val="28"/>
          <w:u w:val="single"/>
        </w:rPr>
        <w:t xml:space="preserve">                                                             </w:t>
      </w:r>
      <w:r>
        <w:rPr>
          <w:rFonts w:ascii="华文中宋" w:hAnsi="华文中宋" w:eastAsia="华文中宋" w:cs="仿宋"/>
          <w:b/>
          <w:snapToGrid w:val="0"/>
          <w:sz w:val="28"/>
          <w:szCs w:val="28"/>
          <w:u w:val="single"/>
        </w:rPr>
        <w:t xml:space="preserve">                                    </w:t>
      </w:r>
      <w:r>
        <w:rPr>
          <w:rFonts w:hint="eastAsia" w:ascii="华文中宋" w:hAnsi="华文中宋" w:eastAsia="华文中宋" w:cs="仿宋"/>
          <w:b/>
          <w:snapToGrid w:val="0"/>
          <w:sz w:val="28"/>
          <w:szCs w:val="28"/>
          <w:u w:val="single"/>
        </w:rPr>
        <w:t xml:space="preserve">  </w:t>
      </w:r>
    </w:p>
    <w:p>
      <w:pPr>
        <w:adjustRightInd w:val="0"/>
        <w:snapToGrid w:val="0"/>
        <w:spacing w:line="520" w:lineRule="exact"/>
        <w:ind w:left="-158" w:leftChars="-75"/>
        <w:rPr>
          <w:rFonts w:ascii="仿宋" w:hAnsi="仿宋" w:eastAsia="仿宋" w:cs="仿宋"/>
          <w:b/>
          <w:snapToGrid w:val="0"/>
          <w:sz w:val="24"/>
          <w:szCs w:val="24"/>
          <w:u w:val="single"/>
        </w:rPr>
      </w:pPr>
      <w:r>
        <w:rPr>
          <w:rFonts w:hint="eastAsia" w:ascii="华文中宋" w:hAnsi="华文中宋" w:eastAsia="华文中宋" w:cs="仿宋"/>
          <w:b/>
          <w:spacing w:val="20"/>
          <w:sz w:val="24"/>
          <w:szCs w:val="24"/>
        </w:rPr>
        <w:t>地址：江苏省南通市崇川区江海大道989号</w:t>
      </w:r>
      <w:r>
        <w:rPr>
          <w:rFonts w:ascii="华文中宋" w:hAnsi="华文中宋" w:eastAsia="华文中宋" w:cs="仿宋"/>
          <w:b/>
          <w:spacing w:val="20"/>
          <w:sz w:val="24"/>
          <w:szCs w:val="24"/>
        </w:rPr>
        <w:t xml:space="preserve">                   </w:t>
      </w:r>
      <w:r>
        <w:rPr>
          <w:rFonts w:hint="eastAsia" w:ascii="华文中宋" w:hAnsi="华文中宋" w:eastAsia="华文中宋" w:cs="仿宋"/>
          <w:b/>
          <w:spacing w:val="20"/>
          <w:sz w:val="24"/>
          <w:szCs w:val="24"/>
        </w:rPr>
        <w:t xml:space="preserve"> 邮编：</w:t>
      </w:r>
      <w:r>
        <w:rPr>
          <w:rFonts w:ascii="华文中宋" w:hAnsi="华文中宋" w:eastAsia="华文中宋" w:cs="仿宋"/>
          <w:b/>
          <w:spacing w:val="20"/>
          <w:sz w:val="24"/>
          <w:szCs w:val="24"/>
        </w:rPr>
        <w:t>226001</w:t>
      </w:r>
    </w:p>
    <w:p>
      <w:pPr>
        <w:autoSpaceDE w:val="0"/>
        <w:autoSpaceDN w:val="0"/>
        <w:adjustRightInd w:val="0"/>
        <w:spacing w:before="319" w:beforeLines="100" w:after="319" w:afterLines="100" w:line="360" w:lineRule="auto"/>
        <w:jc w:val="center"/>
        <w:outlineLvl w:val="0"/>
        <w:rPr>
          <w:rFonts w:hint="eastAsia" w:ascii="仿宋" w:hAnsi="仿宋" w:eastAsia="仿宋" w:cs="仿宋"/>
          <w:b/>
          <w:bCs/>
          <w:sz w:val="52"/>
          <w:szCs w:val="32"/>
          <w:lang w:val="zh-CN"/>
        </w:rPr>
      </w:pPr>
    </w:p>
    <w:p>
      <w:pPr>
        <w:autoSpaceDE w:val="0"/>
        <w:autoSpaceDN w:val="0"/>
        <w:adjustRightInd w:val="0"/>
        <w:spacing w:before="319" w:beforeLines="100" w:after="319" w:afterLines="100" w:line="360" w:lineRule="auto"/>
        <w:jc w:val="center"/>
        <w:outlineLvl w:val="0"/>
        <w:rPr>
          <w:rFonts w:ascii="仿宋" w:hAnsi="仿宋" w:eastAsia="仿宋" w:cs="仿宋"/>
          <w:b/>
          <w:bCs/>
          <w:sz w:val="52"/>
          <w:szCs w:val="32"/>
          <w:lang w:val="zh-CN"/>
        </w:rPr>
      </w:pPr>
      <w:r>
        <w:rPr>
          <w:rFonts w:hint="eastAsia" w:ascii="仿宋" w:hAnsi="仿宋" w:eastAsia="仿宋" w:cs="仿宋"/>
          <w:b/>
          <w:bCs/>
          <w:sz w:val="52"/>
          <w:szCs w:val="32"/>
          <w:lang w:val="zh-CN"/>
        </w:rPr>
        <w:t>目录</w:t>
      </w:r>
    </w:p>
    <w:p>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第一部分  询价公告</w:t>
      </w:r>
    </w:p>
    <w:p>
      <w:pPr>
        <w:widowControl/>
        <w:shd w:val="clear" w:color="auto" w:fill="FFFFFF"/>
        <w:spacing w:before="159" w:beforeLines="50" w:after="159" w:afterLines="50" w:line="360" w:lineRule="auto"/>
        <w:ind w:firstLine="562" w:firstLineChars="200"/>
        <w:rPr>
          <w:rFonts w:ascii="仿宋" w:hAnsi="仿宋" w:eastAsia="仿宋" w:cs="仿宋"/>
          <w:b/>
          <w:sz w:val="28"/>
          <w:szCs w:val="24"/>
        </w:rPr>
      </w:pPr>
      <w:r>
        <w:rPr>
          <w:rFonts w:hint="eastAsia" w:ascii="仿宋" w:hAnsi="仿宋" w:eastAsia="仿宋" w:cs="仿宋"/>
          <w:b/>
          <w:sz w:val="28"/>
          <w:szCs w:val="24"/>
        </w:rPr>
        <w:t>第二部分  询价须知</w:t>
      </w:r>
    </w:p>
    <w:p>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第三部分  项目需求</w:t>
      </w:r>
    </w:p>
    <w:p>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第四部分  评审方法和评审标准</w:t>
      </w:r>
    </w:p>
    <w:p>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第五部分  合同条款及格式</w:t>
      </w:r>
    </w:p>
    <w:p>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第六部分  响应文件组成</w:t>
      </w:r>
    </w:p>
    <w:p>
      <w:pPr>
        <w:widowControl/>
        <w:jc w:val="left"/>
        <w:rPr>
          <w:rFonts w:ascii="仿宋" w:hAnsi="仿宋" w:eastAsia="仿宋"/>
          <w:sz w:val="28"/>
          <w:szCs w:val="28"/>
        </w:rPr>
      </w:pPr>
      <w:r>
        <w:rPr>
          <w:rFonts w:ascii="仿宋" w:hAnsi="仿宋" w:eastAsia="仿宋"/>
          <w:sz w:val="28"/>
          <w:szCs w:val="28"/>
        </w:rPr>
        <w:br w:type="page"/>
      </w:r>
    </w:p>
    <w:p>
      <w:pPr>
        <w:pStyle w:val="2"/>
        <w:spacing w:before="159" w:beforeLines="50" w:after="159" w:afterLines="50" w:line="360" w:lineRule="auto"/>
        <w:jc w:val="center"/>
        <w:rPr>
          <w:rFonts w:ascii="仿宋" w:hAnsi="仿宋" w:eastAsia="仿宋"/>
          <w:color w:val="auto"/>
          <w:sz w:val="32"/>
          <w:szCs w:val="32"/>
          <w:highlight w:val="none"/>
        </w:rPr>
      </w:pPr>
      <w:bookmarkStart w:id="0" w:name="_Hlk117003629"/>
      <w:r>
        <w:rPr>
          <w:rFonts w:hint="eastAsia" w:ascii="仿宋" w:hAnsi="仿宋" w:eastAsia="仿宋"/>
          <w:color w:val="auto"/>
          <w:sz w:val="32"/>
          <w:szCs w:val="32"/>
          <w:highlight w:val="none"/>
        </w:rPr>
        <w:t xml:space="preserve">第一部分 </w:t>
      </w:r>
      <w:bookmarkStart w:id="1" w:name="_Hlk81297243"/>
      <w:bookmarkStart w:id="2" w:name="_Hlk103330607"/>
      <w:r>
        <w:rPr>
          <w:rFonts w:hint="eastAsia" w:ascii="仿宋" w:hAnsi="仿宋" w:eastAsia="仿宋"/>
          <w:color w:val="auto"/>
          <w:sz w:val="32"/>
          <w:szCs w:val="32"/>
          <w:highlight w:val="none"/>
        </w:rPr>
        <w:t>询价公告</w:t>
      </w:r>
    </w:p>
    <w:bookmarkEnd w:id="1"/>
    <w:p>
      <w:pPr>
        <w:spacing w:line="360" w:lineRule="auto"/>
        <w:ind w:firstLine="480" w:firstLineChars="200"/>
        <w:rPr>
          <w:rFonts w:ascii="仿宋" w:hAnsi="仿宋" w:eastAsia="仿宋"/>
          <w:color w:val="auto"/>
          <w:sz w:val="24"/>
          <w:szCs w:val="24"/>
          <w:highlight w:val="none"/>
        </w:rPr>
      </w:pPr>
      <w:bookmarkStart w:id="3" w:name="OLE_LINK3"/>
      <w:bookmarkStart w:id="4" w:name="OLE_LINK2"/>
      <w:bookmarkStart w:id="5" w:name="_Hlk117005804"/>
      <w:r>
        <w:rPr>
          <w:rFonts w:hint="eastAsia" w:ascii="仿宋" w:hAnsi="仿宋" w:eastAsia="仿宋"/>
          <w:color w:val="auto"/>
          <w:sz w:val="24"/>
          <w:szCs w:val="24"/>
          <w:highlight w:val="none"/>
          <w:lang w:eastAsia="zh-CN"/>
        </w:rPr>
        <w:t>南通市农产品质量检验测试中心标准物质采购项目</w:t>
      </w:r>
      <w:r>
        <w:rPr>
          <w:rFonts w:hint="eastAsia" w:ascii="仿宋" w:hAnsi="仿宋" w:eastAsia="仿宋"/>
          <w:color w:val="auto"/>
          <w:sz w:val="24"/>
          <w:szCs w:val="24"/>
          <w:highlight w:val="none"/>
        </w:rPr>
        <w:t>进行询价采购，欢迎符合条件的供应商参加。</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pPr>
        <w:widowControl/>
        <w:shd w:val="clear" w:color="auto" w:fill="FFFFFF"/>
        <w:spacing w:line="360" w:lineRule="auto"/>
        <w:ind w:firstLine="720" w:firstLineChars="300"/>
        <w:jc w:val="left"/>
        <w:rPr>
          <w:rFonts w:ascii="仿宋" w:hAnsi="仿宋" w:eastAsia="仿宋" w:cs="仿宋"/>
          <w:color w:val="auto"/>
          <w:sz w:val="24"/>
          <w:szCs w:val="24"/>
          <w:highlight w:val="none"/>
        </w:rPr>
      </w:pPr>
      <w:r>
        <w:rPr>
          <w:rFonts w:hint="eastAsia" w:ascii="仿宋" w:hAnsi="仿宋" w:eastAsia="仿宋"/>
          <w:color w:val="auto"/>
          <w:sz w:val="24"/>
          <w:szCs w:val="24"/>
          <w:highlight w:val="none"/>
          <w:lang w:eastAsia="zh-CN"/>
        </w:rPr>
        <w:t>南通市</w:t>
      </w:r>
      <w:r>
        <w:rPr>
          <w:rFonts w:hint="eastAsia" w:ascii="仿宋" w:hAnsi="仿宋" w:eastAsia="仿宋"/>
          <w:color w:val="auto"/>
          <w:sz w:val="24"/>
          <w:szCs w:val="24"/>
          <w:highlight w:val="none"/>
          <w:lang w:val="en-US" w:eastAsia="zh-CN"/>
        </w:rPr>
        <w:t>农产品质量检验测试</w:t>
      </w:r>
      <w:r>
        <w:rPr>
          <w:rFonts w:hint="eastAsia" w:ascii="仿宋" w:hAnsi="仿宋" w:eastAsia="仿宋"/>
          <w:color w:val="auto"/>
          <w:sz w:val="24"/>
          <w:szCs w:val="24"/>
          <w:highlight w:val="none"/>
          <w:lang w:eastAsia="zh-CN"/>
        </w:rPr>
        <w:t>中</w:t>
      </w:r>
      <w:r>
        <w:rPr>
          <w:rFonts w:hint="eastAsia" w:ascii="仿宋" w:hAnsi="仿宋" w:eastAsia="仿宋"/>
          <w:color w:val="auto"/>
          <w:sz w:val="24"/>
          <w:szCs w:val="24"/>
          <w:highlight w:val="none"/>
          <w:lang w:val="en-US" w:eastAsia="zh-CN"/>
        </w:rPr>
        <w:t>心</w:t>
      </w:r>
      <w:r>
        <w:rPr>
          <w:rFonts w:hint="eastAsia" w:ascii="仿宋" w:hAnsi="仿宋" w:eastAsia="仿宋"/>
          <w:color w:val="auto"/>
          <w:sz w:val="24"/>
          <w:szCs w:val="24"/>
          <w:highlight w:val="none"/>
          <w:lang w:eastAsia="zh-CN"/>
        </w:rPr>
        <w:t>标准物质采购项目</w:t>
      </w:r>
      <w:r>
        <w:rPr>
          <w:rFonts w:hint="eastAsia" w:ascii="仿宋" w:hAnsi="仿宋" w:eastAsia="仿宋" w:cs="仿宋"/>
          <w:color w:val="auto"/>
          <w:sz w:val="24"/>
          <w:szCs w:val="24"/>
          <w:highlight w:val="none"/>
        </w:rPr>
        <w:t>的潜在供应商应在“</w:t>
      </w:r>
      <w:r>
        <w:rPr>
          <w:rFonts w:hint="eastAsia" w:ascii="仿宋" w:hAnsi="仿宋" w:eastAsia="仿宋" w:cs="仿宋"/>
          <w:color w:val="auto"/>
          <w:sz w:val="24"/>
          <w:szCs w:val="24"/>
          <w:highlight w:val="none"/>
          <w:u w:val="single"/>
        </w:rPr>
        <w:t>南通市农业农村局官网”</w:t>
      </w:r>
      <w:r>
        <w:rPr>
          <w:rFonts w:hint="eastAsia" w:ascii="仿宋" w:hAnsi="仿宋" w:eastAsia="仿宋" w:cs="仿宋"/>
          <w:color w:val="auto"/>
          <w:sz w:val="24"/>
          <w:szCs w:val="24"/>
          <w:highlight w:val="none"/>
        </w:rPr>
        <w:t>获取采购文件，并于</w:t>
      </w:r>
      <w:r>
        <w:rPr>
          <w:rFonts w:hint="eastAsia" w:ascii="仿宋" w:hAnsi="仿宋" w:eastAsia="仿宋" w:cs="仿宋"/>
          <w:color w:val="auto"/>
          <w:sz w:val="24"/>
          <w:szCs w:val="24"/>
          <w:highlight w:val="none"/>
          <w:u w:val="single"/>
        </w:rPr>
        <w:t>202</w:t>
      </w:r>
      <w:r>
        <w:rPr>
          <w:rFonts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u w:val="single"/>
        </w:rPr>
        <w:t>年</w:t>
      </w:r>
      <w:r>
        <w:rPr>
          <w:rFonts w:ascii="仿宋" w:hAnsi="仿宋" w:eastAsia="仿宋" w:cs="仿宋"/>
          <w:color w:val="auto"/>
          <w:sz w:val="24"/>
          <w:szCs w:val="24"/>
          <w:highlight w:val="none"/>
          <w:u w:val="single"/>
        </w:rPr>
        <w:t>11</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日14时</w:t>
      </w:r>
      <w:r>
        <w:rPr>
          <w:rFonts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highlight w:val="none"/>
        </w:rPr>
        <w:t>（北京时间）前递交响应文件。</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一、项目基本情况</w:t>
      </w:r>
    </w:p>
    <w:p>
      <w:pPr>
        <w:widowControl/>
        <w:shd w:val="clear" w:color="auto" w:fill="FFFFFF"/>
        <w:spacing w:line="360" w:lineRule="auto"/>
        <w:ind w:firstLine="480" w:firstLineChars="200"/>
        <w:jc w:val="left"/>
        <w:rPr>
          <w:rFonts w:hint="eastAsia" w:ascii="仿宋" w:hAnsi="仿宋" w:eastAsia="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olor w:val="auto"/>
          <w:sz w:val="24"/>
          <w:szCs w:val="24"/>
          <w:highlight w:val="none"/>
          <w:lang w:eastAsia="zh-CN"/>
        </w:rPr>
        <w:t>南通市农产品质量检验测试中心标准物质采购项目</w:t>
      </w:r>
    </w:p>
    <w:p>
      <w:pPr>
        <w:widowControl/>
        <w:shd w:val="clear" w:color="auto" w:fill="FFFFFF"/>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采购方式：询价</w:t>
      </w:r>
    </w:p>
    <w:p>
      <w:pPr>
        <w:widowControl/>
        <w:shd w:val="clear" w:color="auto" w:fill="FFFFFF"/>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项目类型：货物</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olor w:val="auto"/>
          <w:sz w:val="24"/>
          <w:szCs w:val="24"/>
          <w:highlight w:val="none"/>
        </w:rPr>
        <w:t>所属行业：工业</w:t>
      </w:r>
    </w:p>
    <w:p>
      <w:pPr>
        <w:widowControl/>
        <w:shd w:val="clear" w:color="auto" w:fill="FFFFFF"/>
        <w:spacing w:line="360" w:lineRule="auto"/>
        <w:ind w:firstLine="480" w:firstLineChars="200"/>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万元</w:t>
      </w:r>
      <w:r>
        <w:rPr>
          <w:rFonts w:hint="eastAsia" w:ascii="仿宋" w:hAnsi="仿宋" w:eastAsia="仿宋" w:cs="仿宋"/>
          <w:b/>
          <w:color w:val="auto"/>
          <w:sz w:val="24"/>
          <w:szCs w:val="24"/>
          <w:highlight w:val="none"/>
        </w:rPr>
        <w:t>，超过采购预算的为无效响应文件。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采购需求：详见第三部分项目需求。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合同履行期限：详见第三部分项目需求。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二、供应商的资格要求：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落实政府采购政策需满足的资格要求：无。</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本项目的特定资格要求：供应商未被“信用中国”网站（www.creditchina.gov.cn）列入失信被执行人、重大税收违法案件当事人名单、政府采购严重失信行为记录名单。</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、响应文件提交截止时间和地点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时</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0分（北京时间）</w:t>
      </w:r>
    </w:p>
    <w:p>
      <w:pPr>
        <w:widowControl/>
        <w:shd w:val="clear" w:color="auto" w:fill="FFFFFF"/>
        <w:spacing w:line="360" w:lineRule="auto"/>
        <w:ind w:firstLine="480" w:firstLineChars="20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逾时，</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将拒绝接受提交的响应文件。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江苏省南通市崇川区江海大道989号</w:t>
      </w:r>
      <w:r>
        <w:rPr>
          <w:rFonts w:hint="eastAsia" w:ascii="仿宋" w:hAnsi="仿宋" w:eastAsia="仿宋" w:cs="仿宋"/>
          <w:color w:val="auto"/>
          <w:sz w:val="24"/>
          <w:szCs w:val="24"/>
          <w:highlight w:val="none"/>
        </w:rPr>
        <w:t>（若有调整，将另行通知）。</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、公告期限</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个工作日。</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、成交原则、方式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1.按照质量和服务均能满足询价采购文件实质性响应要求且报价最低原则，确定成交供应商。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.供应商随意、恶意报价，或未按询价文件要求进行报价的，将按相关规定予以处罚。</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.成交供应商不得以任何方式转包或分包本项目。</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.成交方式：按项目成交，资格审查合格的前提下，且在质量和服务均能满足采购文件实质性响应要求的供应商中，按照报价最低的确定为成交供应商。</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、其他补充事宜</w:t>
      </w:r>
    </w:p>
    <w:p>
      <w:pPr>
        <w:widowControl/>
        <w:shd w:val="clear" w:color="auto" w:fill="FFFFFF"/>
        <w:tabs>
          <w:tab w:val="left" w:pos="3575"/>
        </w:tabs>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投标保证金：免收。</w:t>
      </w:r>
    </w:p>
    <w:p>
      <w:pPr>
        <w:widowControl/>
        <w:shd w:val="clear" w:color="auto" w:fill="FFFFFF"/>
        <w:tabs>
          <w:tab w:val="left" w:pos="3575"/>
        </w:tabs>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履约保证金：项目成交金额的10%，成交供应商在签订合同之前缴纳履约保证金，签订合同时须提供履约保证金缴纳凭证，可以以支票、汇票、本票、保函等非现金形式缴纳或提交。根据优化营商环境相关文件精神，对政府采购信用档案中无不良记录的中小企业可以申请免收履约保证金。</w:t>
      </w:r>
    </w:p>
    <w:p>
      <w:pPr>
        <w:widowControl/>
        <w:shd w:val="clear" w:color="auto" w:fill="FFFFFF"/>
        <w:tabs>
          <w:tab w:val="left" w:pos="3575"/>
        </w:tabs>
        <w:spacing w:line="360" w:lineRule="auto"/>
        <w:ind w:firstLine="480" w:firstLineChars="200"/>
        <w:jc w:val="left"/>
        <w:rPr>
          <w:rFonts w:ascii="仿宋" w:hAnsi="仿宋" w:eastAsia="仿宋" w:cs="仿宋"/>
          <w:bCs/>
          <w:color w:val="auto"/>
          <w:sz w:val="24"/>
          <w:szCs w:val="24"/>
          <w:highlight w:val="none"/>
        </w:rPr>
      </w:pPr>
      <w:bookmarkStart w:id="6" w:name="_Hlk144735647"/>
      <w:r>
        <w:rPr>
          <w:rFonts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rPr>
        <w:t>项目开标活动模式：现场提交响应文件。</w:t>
      </w:r>
    </w:p>
    <w:bookmarkEnd w:id="6"/>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rPr>
        <w:t>项目演示、样品、答辩等：无。</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rPr>
        <w:t>对项目需求部分（项目需求）的询问、质疑请向采购人提出，由采购人负责答复。</w:t>
      </w:r>
    </w:p>
    <w:p>
      <w:pPr>
        <w:widowControl/>
        <w:shd w:val="clear" w:color="auto" w:fill="FFFFFF"/>
        <w:spacing w:line="360" w:lineRule="auto"/>
        <w:ind w:firstLine="480" w:firstLineChars="200"/>
        <w:jc w:val="left"/>
        <w:rPr>
          <w:rFonts w:ascii="仿宋" w:hAnsi="仿宋" w:eastAsia="仿宋" w:cs="Times New Roman"/>
          <w:bCs/>
          <w:color w:val="auto"/>
          <w:sz w:val="24"/>
          <w:szCs w:val="24"/>
          <w:highlight w:val="none"/>
        </w:rPr>
      </w:pPr>
      <w:r>
        <w:rPr>
          <w:rFonts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供应商应依照规定提交各类声明函、承诺函和相关证明材料复印件并加盖公章，不再同时提供原件备查或提供有关部门出具的相关证明文件。成交供应商供货时应做好提交声明函、承诺函相应原件的核查准备；核查后发现虚假或违背承诺的，采购人有权拒收并依照相关法律法规规定处理。</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、对本次采购提出询问，请按以下方式联系。</w:t>
      </w:r>
    </w:p>
    <w:p>
      <w:pPr>
        <w:widowControl/>
        <w:shd w:val="clear" w:color="auto" w:fill="FFFFFF"/>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采购人信息</w:t>
      </w:r>
      <w:r>
        <w:rPr>
          <w:rFonts w:hint="eastAsia" w:ascii="仿宋" w:hAnsi="仿宋" w:eastAsia="仿宋" w:cs="仿宋"/>
          <w:color w:val="auto"/>
          <w:sz w:val="24"/>
          <w:szCs w:val="24"/>
          <w:highlight w:val="none"/>
          <w:lang w:eastAsia="zh-CN"/>
        </w:rPr>
        <w:t>：</w:t>
      </w:r>
    </w:p>
    <w:p>
      <w:pPr>
        <w:widowControl/>
        <w:shd w:val="clear" w:color="auto" w:fill="FFFFFF"/>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名称：南通市</w:t>
      </w:r>
      <w:r>
        <w:rPr>
          <w:rFonts w:hint="eastAsia" w:ascii="仿宋" w:hAnsi="仿宋" w:eastAsia="仿宋" w:cs="仿宋"/>
          <w:color w:val="auto"/>
          <w:sz w:val="24"/>
          <w:szCs w:val="24"/>
          <w:highlight w:val="none"/>
          <w:lang w:eastAsia="zh-CN"/>
        </w:rPr>
        <w:t>农产品质量检验测试中心</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地址：江苏省南通市崇川区江海大道989号</w:t>
      </w:r>
    </w:p>
    <w:p>
      <w:pPr>
        <w:widowControl/>
        <w:shd w:val="clear" w:color="auto" w:fill="FFFFFF"/>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联系方式：陆女士（0513-83549591</w:t>
      </w:r>
      <w:r>
        <w:rPr>
          <w:rFonts w:hint="eastAsia" w:ascii="仿宋" w:hAnsi="仿宋" w:eastAsia="仿宋" w:cs="仿宋"/>
          <w:color w:val="auto"/>
          <w:sz w:val="24"/>
          <w:szCs w:val="24"/>
          <w:highlight w:val="none"/>
          <w:lang w:val="en-US" w:eastAsia="zh-CN"/>
        </w:rPr>
        <w:t>/18751327531</w:t>
      </w:r>
      <w:r>
        <w:rPr>
          <w:rFonts w:hint="eastAsia" w:ascii="仿宋" w:hAnsi="仿宋" w:eastAsia="仿宋" w:cs="仿宋"/>
          <w:color w:val="auto"/>
          <w:sz w:val="24"/>
          <w:szCs w:val="24"/>
          <w:highlight w:val="none"/>
        </w:rPr>
        <w:t>）</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监督电话：沈女士（0513-59002196）</w:t>
      </w:r>
    </w:p>
    <w:p>
      <w:pPr>
        <w:widowControl/>
        <w:shd w:val="clear" w:color="auto" w:fill="FFFFFF"/>
        <w:spacing w:line="360" w:lineRule="auto"/>
        <w:ind w:firstLine="482" w:firstLineChars="200"/>
        <w:jc w:val="right"/>
        <w:rPr>
          <w:rFonts w:ascii="仿宋" w:hAnsi="仿宋" w:eastAsia="仿宋" w:cs="仿宋"/>
          <w:b/>
          <w:color w:val="auto"/>
          <w:sz w:val="24"/>
          <w:szCs w:val="24"/>
          <w:highlight w:val="none"/>
        </w:rPr>
      </w:pPr>
    </w:p>
    <w:p>
      <w:pPr>
        <w:widowControl/>
        <w:shd w:val="clear" w:color="auto" w:fill="FFFFFF"/>
        <w:spacing w:line="360" w:lineRule="auto"/>
        <w:ind w:firstLine="482" w:firstLineChars="200"/>
        <w:jc w:val="righ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南通市</w:t>
      </w:r>
      <w:r>
        <w:rPr>
          <w:rFonts w:hint="eastAsia" w:ascii="仿宋" w:hAnsi="仿宋" w:eastAsia="仿宋" w:cs="仿宋"/>
          <w:b/>
          <w:color w:val="auto"/>
          <w:sz w:val="24"/>
          <w:szCs w:val="24"/>
          <w:highlight w:val="none"/>
          <w:lang w:eastAsia="zh-CN"/>
        </w:rPr>
        <w:t>农产品质量检验测试中心</w:t>
      </w:r>
    </w:p>
    <w:bookmarkEnd w:id="2"/>
    <w:bookmarkEnd w:id="3"/>
    <w:bookmarkEnd w:id="4"/>
    <w:p>
      <w:pPr>
        <w:widowControl/>
        <w:shd w:val="clear" w:color="auto" w:fill="FFFFFF"/>
        <w:spacing w:line="360" w:lineRule="auto"/>
        <w:ind w:firstLine="482" w:firstLineChars="200"/>
        <w:jc w:val="righ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202</w:t>
      </w:r>
      <w:r>
        <w:rPr>
          <w:rFonts w:ascii="仿宋" w:hAnsi="仿宋" w:eastAsia="仿宋" w:cs="仿宋"/>
          <w:b/>
          <w:color w:val="auto"/>
          <w:sz w:val="24"/>
          <w:szCs w:val="24"/>
          <w:highlight w:val="none"/>
        </w:rPr>
        <w:t>3</w:t>
      </w:r>
      <w:r>
        <w:rPr>
          <w:rFonts w:hint="eastAsia" w:ascii="仿宋" w:hAnsi="仿宋" w:eastAsia="仿宋" w:cs="仿宋"/>
          <w:b/>
          <w:color w:val="auto"/>
          <w:sz w:val="24"/>
          <w:szCs w:val="24"/>
          <w:highlight w:val="none"/>
        </w:rPr>
        <w:t>年</w:t>
      </w:r>
      <w:r>
        <w:rPr>
          <w:rFonts w:ascii="仿宋" w:hAnsi="仿宋" w:eastAsia="仿宋" w:cs="仿宋"/>
          <w:b/>
          <w:color w:val="auto"/>
          <w:sz w:val="24"/>
          <w:szCs w:val="24"/>
          <w:highlight w:val="none"/>
        </w:rPr>
        <w:t>11</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21</w:t>
      </w:r>
      <w:r>
        <w:rPr>
          <w:rFonts w:hint="eastAsia" w:ascii="仿宋" w:hAnsi="仿宋" w:eastAsia="仿宋" w:cs="仿宋"/>
          <w:b/>
          <w:color w:val="auto"/>
          <w:sz w:val="24"/>
          <w:szCs w:val="24"/>
          <w:highlight w:val="none"/>
        </w:rPr>
        <w:t>日</w:t>
      </w:r>
    </w:p>
    <w:bookmarkEnd w:id="0"/>
    <w:bookmarkEnd w:id="5"/>
    <w:p>
      <w:pPr>
        <w:spacing w:line="360" w:lineRule="auto"/>
        <w:ind w:firstLine="480" w:firstLineChars="200"/>
        <w:rPr>
          <w:rFonts w:ascii="仿宋" w:hAnsi="仿宋" w:eastAsia="仿宋"/>
          <w:color w:val="auto"/>
          <w:sz w:val="24"/>
          <w:szCs w:val="24"/>
          <w:highlight w:val="none"/>
        </w:rPr>
      </w:pPr>
    </w:p>
    <w:p>
      <w:pPr>
        <w:widowControl/>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第二部分 询价须知</w:t>
      </w:r>
    </w:p>
    <w:p>
      <w:pPr>
        <w:pStyle w:val="3"/>
        <w:spacing w:before="0" w:after="0" w:line="360" w:lineRule="auto"/>
        <w:rPr>
          <w:rFonts w:ascii="仿宋" w:hAnsi="仿宋" w:eastAsia="仿宋"/>
          <w:color w:val="auto"/>
          <w:sz w:val="24"/>
          <w:szCs w:val="24"/>
          <w:highlight w:val="none"/>
        </w:rPr>
      </w:pPr>
      <w:bookmarkStart w:id="7" w:name="_Toc20823275"/>
      <w:bookmarkStart w:id="8" w:name="_Toc513029203"/>
      <w:bookmarkStart w:id="9" w:name="_Toc16938519"/>
      <w:bookmarkStart w:id="10" w:name="_Toc120614214"/>
      <w:r>
        <w:rPr>
          <w:rFonts w:ascii="仿宋" w:hAnsi="仿宋" w:eastAsia="仿宋"/>
          <w:color w:val="auto"/>
          <w:sz w:val="24"/>
          <w:szCs w:val="24"/>
          <w:highlight w:val="none"/>
        </w:rPr>
        <w:t>（一）总则</w:t>
      </w:r>
      <w:bookmarkEnd w:id="7"/>
      <w:bookmarkEnd w:id="8"/>
      <w:bookmarkEnd w:id="9"/>
      <w:bookmarkEnd w:id="10"/>
    </w:p>
    <w:p>
      <w:pPr>
        <w:pStyle w:val="4"/>
        <w:spacing w:before="0" w:after="0" w:line="360" w:lineRule="auto"/>
        <w:rPr>
          <w:rFonts w:ascii="仿宋" w:hAnsi="仿宋" w:eastAsia="仿宋"/>
          <w:color w:val="auto"/>
          <w:sz w:val="24"/>
          <w:szCs w:val="24"/>
          <w:highlight w:val="none"/>
        </w:rPr>
      </w:pPr>
      <w:bookmarkStart w:id="11" w:name="_Hlt16619475"/>
      <w:bookmarkEnd w:id="11"/>
      <w:bookmarkStart w:id="12" w:name="_Toc458694821"/>
      <w:bookmarkStart w:id="13" w:name="_Toc16938520"/>
      <w:bookmarkStart w:id="14" w:name="_Toc20823276"/>
      <w:bookmarkStart w:id="15" w:name="_Toc513029204"/>
      <w:r>
        <w:rPr>
          <w:rFonts w:ascii="仿宋" w:hAnsi="仿宋" w:eastAsia="仿宋"/>
          <w:color w:val="auto"/>
          <w:sz w:val="24"/>
          <w:szCs w:val="24"/>
          <w:highlight w:val="none"/>
        </w:rPr>
        <w:t>1</w:t>
      </w:r>
      <w:bookmarkEnd w:id="12"/>
      <w:r>
        <w:rPr>
          <w:rFonts w:ascii="仿宋" w:hAnsi="仿宋" w:eastAsia="仿宋"/>
          <w:color w:val="auto"/>
          <w:sz w:val="24"/>
          <w:szCs w:val="24"/>
          <w:highlight w:val="none"/>
        </w:rPr>
        <w:t>.采购方式</w:t>
      </w:r>
      <w:bookmarkEnd w:id="13"/>
      <w:bookmarkEnd w:id="14"/>
      <w:bookmarkEnd w:id="15"/>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本次采取</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方式，本采购文件仅适用于</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公告中所述项目。</w:t>
      </w:r>
    </w:p>
    <w:p>
      <w:pPr>
        <w:pStyle w:val="4"/>
        <w:spacing w:before="0" w:after="0" w:line="360" w:lineRule="auto"/>
        <w:rPr>
          <w:rFonts w:ascii="仿宋" w:hAnsi="仿宋" w:eastAsia="仿宋"/>
          <w:color w:val="auto"/>
          <w:sz w:val="24"/>
          <w:szCs w:val="24"/>
          <w:highlight w:val="none"/>
        </w:rPr>
      </w:pPr>
      <w:bookmarkStart w:id="16" w:name="_Toc20823277"/>
      <w:bookmarkStart w:id="17" w:name="_Toc513029205"/>
      <w:bookmarkStart w:id="18" w:name="_Toc16938521"/>
      <w:r>
        <w:rPr>
          <w:rFonts w:ascii="仿宋" w:hAnsi="仿宋" w:eastAsia="仿宋"/>
          <w:color w:val="auto"/>
          <w:sz w:val="24"/>
          <w:szCs w:val="24"/>
          <w:highlight w:val="none"/>
        </w:rPr>
        <w:t>2.合格的</w:t>
      </w:r>
      <w:bookmarkEnd w:id="16"/>
      <w:bookmarkEnd w:id="17"/>
      <w:bookmarkEnd w:id="18"/>
      <w:r>
        <w:rPr>
          <w:rFonts w:ascii="仿宋" w:hAnsi="仿宋" w:eastAsia="仿宋"/>
          <w:color w:val="auto"/>
          <w:sz w:val="24"/>
          <w:szCs w:val="24"/>
          <w:highlight w:val="none"/>
        </w:rPr>
        <w:t>供应商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满足询价公告中供应商的资格要求的规定。</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满足本文件实质性条款的规定。</w:t>
      </w:r>
    </w:p>
    <w:p>
      <w:pPr>
        <w:pStyle w:val="4"/>
        <w:spacing w:before="0" w:after="0" w:line="360" w:lineRule="auto"/>
        <w:rPr>
          <w:rFonts w:ascii="仿宋" w:hAnsi="仿宋" w:eastAsia="仿宋"/>
          <w:color w:val="auto"/>
          <w:sz w:val="24"/>
          <w:szCs w:val="24"/>
          <w:highlight w:val="none"/>
        </w:rPr>
      </w:pPr>
      <w:bookmarkStart w:id="19" w:name="_Toc513029206"/>
      <w:bookmarkStart w:id="20" w:name="_Toc16938522"/>
      <w:bookmarkStart w:id="21" w:name="_Toc20823278"/>
      <w:r>
        <w:rPr>
          <w:rFonts w:ascii="仿宋" w:hAnsi="仿宋" w:eastAsia="仿宋"/>
          <w:color w:val="auto"/>
          <w:sz w:val="24"/>
          <w:szCs w:val="24"/>
          <w:highlight w:val="none"/>
        </w:rPr>
        <w:t>3.适用法律</w:t>
      </w:r>
      <w:bookmarkEnd w:id="19"/>
      <w:bookmarkEnd w:id="20"/>
      <w:bookmarkEnd w:id="21"/>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本次采购及由此产生的合同受中华人民共和国有关的法律法规制约和保护。</w:t>
      </w:r>
    </w:p>
    <w:p>
      <w:pPr>
        <w:pStyle w:val="4"/>
        <w:spacing w:before="0" w:after="0" w:line="360" w:lineRule="auto"/>
        <w:rPr>
          <w:rFonts w:ascii="仿宋" w:hAnsi="仿宋" w:eastAsia="仿宋"/>
          <w:color w:val="auto"/>
          <w:sz w:val="24"/>
          <w:szCs w:val="24"/>
          <w:highlight w:val="none"/>
        </w:rPr>
      </w:pPr>
      <w:bookmarkStart w:id="22" w:name="_Toc513029207"/>
      <w:bookmarkStart w:id="23" w:name="_Toc462564067"/>
      <w:bookmarkStart w:id="24" w:name="_Toc16938523"/>
      <w:bookmarkStart w:id="25" w:name="_Toc20823279"/>
      <w:r>
        <w:rPr>
          <w:rFonts w:ascii="仿宋" w:hAnsi="仿宋" w:eastAsia="仿宋"/>
          <w:color w:val="auto"/>
          <w:sz w:val="24"/>
          <w:szCs w:val="24"/>
          <w:highlight w:val="none"/>
        </w:rPr>
        <w:t>4.</w:t>
      </w:r>
      <w:r>
        <w:rPr>
          <w:rFonts w:hint="eastAsia" w:ascii="仿宋" w:hAnsi="仿宋" w:eastAsia="仿宋"/>
          <w:color w:val="auto"/>
          <w:sz w:val="24"/>
          <w:szCs w:val="24"/>
          <w:highlight w:val="none"/>
        </w:rPr>
        <w:t>询价</w:t>
      </w:r>
      <w:r>
        <w:rPr>
          <w:rFonts w:ascii="仿宋" w:hAnsi="仿宋" w:eastAsia="仿宋"/>
          <w:color w:val="auto"/>
          <w:sz w:val="24"/>
          <w:szCs w:val="24"/>
          <w:highlight w:val="none"/>
        </w:rPr>
        <w:t>费用</w:t>
      </w:r>
      <w:bookmarkEnd w:id="22"/>
      <w:bookmarkEnd w:id="23"/>
      <w:bookmarkEnd w:id="24"/>
      <w:bookmarkEnd w:id="25"/>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供应商应自行承担所有与参加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有关的费用，无论过程中的做法和结果如何，</w:t>
      </w:r>
      <w:r>
        <w:rPr>
          <w:rFonts w:hint="eastAsia" w:ascii="仿宋" w:hAnsi="仿宋" w:eastAsia="仿宋" w:cs="仿宋"/>
          <w:color w:val="auto"/>
          <w:sz w:val="24"/>
          <w:szCs w:val="24"/>
          <w:highlight w:val="none"/>
        </w:rPr>
        <w:t>采购人</w:t>
      </w:r>
      <w:r>
        <w:rPr>
          <w:rFonts w:ascii="仿宋" w:hAnsi="仿宋" w:eastAsia="仿宋" w:cs="仿宋"/>
          <w:color w:val="auto"/>
          <w:sz w:val="24"/>
          <w:szCs w:val="24"/>
          <w:highlight w:val="none"/>
        </w:rPr>
        <w:t>在任何情况下均无义务和责任承担这些费用。</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4.2 </w:t>
      </w:r>
      <w:r>
        <w:rPr>
          <w:rFonts w:hint="eastAsia" w:ascii="仿宋" w:hAnsi="仿宋" w:eastAsia="仿宋" w:cs="仿宋"/>
          <w:color w:val="auto"/>
          <w:sz w:val="24"/>
          <w:szCs w:val="24"/>
          <w:highlight w:val="none"/>
        </w:rPr>
        <w:t>采购人不收取任何费用。</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5.采购文件的约束力</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供应商一旦参加本项目采购活动，即被认为接受了本采购文件的规定和约束。</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6.采购文件的解释</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采购文件需求部分（项目需求）由采购人解释。</w:t>
      </w:r>
    </w:p>
    <w:p>
      <w:pPr>
        <w:pStyle w:val="3"/>
        <w:spacing w:before="0" w:after="0" w:line="360" w:lineRule="auto"/>
        <w:rPr>
          <w:rFonts w:ascii="仿宋" w:hAnsi="仿宋" w:eastAsia="仿宋"/>
          <w:color w:val="auto"/>
          <w:sz w:val="24"/>
          <w:szCs w:val="24"/>
          <w:highlight w:val="none"/>
        </w:rPr>
      </w:pPr>
      <w:bookmarkStart w:id="26" w:name="_Toc120614215"/>
      <w:bookmarkStart w:id="27" w:name="_Toc513029209"/>
      <w:bookmarkStart w:id="28" w:name="_Toc16938525"/>
      <w:bookmarkStart w:id="29" w:name="_Toc20823281"/>
      <w:r>
        <w:rPr>
          <w:rFonts w:ascii="仿宋" w:hAnsi="仿宋" w:eastAsia="仿宋"/>
          <w:color w:val="auto"/>
          <w:sz w:val="24"/>
          <w:szCs w:val="24"/>
          <w:highlight w:val="none"/>
        </w:rPr>
        <w:t>（二）采购文件</w:t>
      </w:r>
      <w:bookmarkEnd w:id="26"/>
      <w:bookmarkEnd w:id="27"/>
      <w:bookmarkEnd w:id="28"/>
      <w:bookmarkEnd w:id="29"/>
    </w:p>
    <w:p>
      <w:pPr>
        <w:pStyle w:val="4"/>
        <w:spacing w:before="0" w:after="0" w:line="360" w:lineRule="auto"/>
        <w:rPr>
          <w:rFonts w:ascii="仿宋" w:hAnsi="仿宋" w:eastAsia="仿宋"/>
          <w:color w:val="auto"/>
          <w:sz w:val="24"/>
          <w:szCs w:val="24"/>
          <w:highlight w:val="none"/>
        </w:rPr>
      </w:pPr>
      <w:bookmarkStart w:id="30" w:name="_Toc16938526"/>
      <w:bookmarkStart w:id="31" w:name="_Toc513029210"/>
      <w:bookmarkStart w:id="32" w:name="_Toc20823282"/>
      <w:r>
        <w:rPr>
          <w:rFonts w:ascii="仿宋" w:hAnsi="仿宋" w:eastAsia="仿宋"/>
          <w:color w:val="auto"/>
          <w:sz w:val="24"/>
          <w:szCs w:val="24"/>
          <w:highlight w:val="none"/>
        </w:rPr>
        <w:t>1.采购文件构成</w:t>
      </w:r>
      <w:bookmarkEnd w:id="30"/>
      <w:bookmarkEnd w:id="31"/>
      <w:bookmarkEnd w:id="32"/>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采购文件由以下部分组成：</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询价公告</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询价须知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（3）项目需求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（4）评审方法和评审标准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（5）合同条款及格式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（6）响应文件组成</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（7）附件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请仔细检查采购文件是否齐全，如有缺漏请立即与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联系解决。</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供应商应认真阅读采购文件中所有的事项、格式、条款和规范等要求。按采购文件要求和规定编制响应文件，并保证所提供的全部资料的真实性，以使其响应文件对采购文件作出实质性响应，否则其风险由供应商自行承担。</w:t>
      </w:r>
    </w:p>
    <w:p>
      <w:pPr>
        <w:pStyle w:val="4"/>
        <w:spacing w:before="0" w:after="0" w:line="360" w:lineRule="auto"/>
        <w:rPr>
          <w:rFonts w:ascii="仿宋" w:hAnsi="仿宋" w:eastAsia="仿宋"/>
          <w:color w:val="auto"/>
          <w:sz w:val="24"/>
          <w:szCs w:val="24"/>
          <w:highlight w:val="none"/>
        </w:rPr>
      </w:pPr>
      <w:bookmarkStart w:id="33" w:name="_Toc462564070"/>
      <w:bookmarkStart w:id="34" w:name="_Toc20823283"/>
      <w:bookmarkStart w:id="35" w:name="_Toc16938527"/>
      <w:bookmarkStart w:id="36" w:name="_Toc513029211"/>
      <w:r>
        <w:rPr>
          <w:rFonts w:ascii="仿宋" w:hAnsi="仿宋" w:eastAsia="仿宋"/>
          <w:color w:val="auto"/>
          <w:sz w:val="24"/>
          <w:szCs w:val="24"/>
          <w:highlight w:val="none"/>
        </w:rPr>
        <w:t>2.采购文件的澄清</w:t>
      </w:r>
      <w:bookmarkEnd w:id="33"/>
      <w:bookmarkEnd w:id="34"/>
      <w:bookmarkEnd w:id="35"/>
      <w:bookmarkEnd w:id="36"/>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任何要求对采购文件进行澄清的供应商，应在提交首次响应文件截止时间五日前按询价公告中的通讯地址，以书面形式通知采购人。采购人有权对发出的采购文件进行必要的澄清或修改。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采购人视情组织答疑会</w:t>
      </w:r>
      <w:r>
        <w:rPr>
          <w:rFonts w:hint="eastAsia" w:ascii="仿宋" w:hAnsi="仿宋" w:eastAsia="仿宋" w:cs="仿宋"/>
          <w:color w:val="auto"/>
          <w:sz w:val="24"/>
          <w:szCs w:val="24"/>
          <w:highlight w:val="none"/>
        </w:rPr>
        <w:t>。</w:t>
      </w:r>
    </w:p>
    <w:p>
      <w:pPr>
        <w:pStyle w:val="4"/>
        <w:spacing w:before="0" w:after="0" w:line="360" w:lineRule="auto"/>
        <w:rPr>
          <w:rFonts w:ascii="仿宋" w:hAnsi="仿宋" w:eastAsia="仿宋"/>
          <w:color w:val="auto"/>
          <w:sz w:val="24"/>
          <w:szCs w:val="24"/>
          <w:highlight w:val="none"/>
        </w:rPr>
      </w:pPr>
      <w:bookmarkStart w:id="37" w:name="_Toc462564071"/>
      <w:bookmarkStart w:id="38" w:name="_Toc20823284"/>
      <w:bookmarkStart w:id="39" w:name="_Toc16938528"/>
      <w:bookmarkStart w:id="40" w:name="_Toc513029212"/>
      <w:r>
        <w:rPr>
          <w:rFonts w:ascii="仿宋" w:hAnsi="仿宋" w:eastAsia="仿宋"/>
          <w:color w:val="auto"/>
          <w:sz w:val="24"/>
          <w:szCs w:val="24"/>
          <w:highlight w:val="none"/>
        </w:rPr>
        <w:t>3.采购文件的修改</w:t>
      </w:r>
      <w:bookmarkEnd w:id="37"/>
      <w:bookmarkEnd w:id="38"/>
      <w:bookmarkEnd w:id="39"/>
      <w:bookmarkEnd w:id="40"/>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3.1 在响应文件提交截止时间前，</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可以对采购文件进行修改。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有权按照法定的要求推迟响应文件提交截止日期和</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日期。</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3.3 采购文件的修改将在</w:t>
      </w:r>
      <w:r>
        <w:rPr>
          <w:rFonts w:hint="eastAsia" w:ascii="仿宋" w:hAnsi="仿宋" w:eastAsia="仿宋" w:cs="仿宋"/>
          <w:color w:val="auto"/>
          <w:sz w:val="24"/>
          <w:szCs w:val="24"/>
          <w:highlight w:val="none"/>
        </w:rPr>
        <w:t>指定媒体上</w:t>
      </w:r>
      <w:r>
        <w:rPr>
          <w:rFonts w:ascii="仿宋" w:hAnsi="仿宋" w:eastAsia="仿宋" w:cs="仿宋"/>
          <w:color w:val="auto"/>
          <w:sz w:val="24"/>
          <w:szCs w:val="24"/>
          <w:highlight w:val="none"/>
        </w:rPr>
        <w:t>公布，补充文件将作为采购文件的组成部分，并对供应商具有约束力。</w:t>
      </w:r>
    </w:p>
    <w:p>
      <w:pPr>
        <w:pStyle w:val="3"/>
        <w:spacing w:before="0" w:after="0" w:line="360" w:lineRule="auto"/>
        <w:rPr>
          <w:rFonts w:ascii="仿宋" w:hAnsi="仿宋" w:eastAsia="仿宋"/>
          <w:color w:val="auto"/>
          <w:sz w:val="24"/>
          <w:szCs w:val="24"/>
          <w:highlight w:val="none"/>
        </w:rPr>
      </w:pPr>
      <w:bookmarkStart w:id="41" w:name="_Toc20823285"/>
      <w:bookmarkStart w:id="42" w:name="_Toc462564072"/>
      <w:bookmarkStart w:id="43" w:name="_Toc16938529"/>
      <w:bookmarkStart w:id="44" w:name="_Toc120614216"/>
      <w:bookmarkStart w:id="45" w:name="_Toc513029213"/>
      <w:r>
        <w:rPr>
          <w:rFonts w:ascii="仿宋" w:hAnsi="仿宋" w:eastAsia="仿宋"/>
          <w:color w:val="auto"/>
          <w:sz w:val="24"/>
          <w:szCs w:val="24"/>
          <w:highlight w:val="none"/>
        </w:rPr>
        <w:t>（三）响应文件的编制</w:t>
      </w:r>
      <w:bookmarkEnd w:id="41"/>
      <w:bookmarkEnd w:id="42"/>
      <w:bookmarkEnd w:id="43"/>
      <w:bookmarkEnd w:id="44"/>
      <w:bookmarkEnd w:id="45"/>
    </w:p>
    <w:p>
      <w:pPr>
        <w:pStyle w:val="4"/>
        <w:spacing w:before="0" w:after="0" w:line="360" w:lineRule="auto"/>
        <w:rPr>
          <w:rFonts w:ascii="仿宋" w:hAnsi="仿宋" w:eastAsia="仿宋"/>
          <w:color w:val="auto"/>
          <w:sz w:val="24"/>
          <w:szCs w:val="24"/>
          <w:highlight w:val="none"/>
        </w:rPr>
      </w:pPr>
      <w:bookmarkStart w:id="46" w:name="_Toc513029214"/>
      <w:bookmarkStart w:id="47" w:name="_Toc20823286"/>
      <w:bookmarkStart w:id="48" w:name="_Toc16938530"/>
      <w:bookmarkStart w:id="49" w:name="_Toc462564073"/>
      <w:r>
        <w:rPr>
          <w:rFonts w:ascii="仿宋" w:hAnsi="仿宋" w:eastAsia="仿宋"/>
          <w:color w:val="auto"/>
          <w:sz w:val="24"/>
          <w:szCs w:val="24"/>
          <w:highlight w:val="none"/>
        </w:rPr>
        <w:t>1.响应文件的语言及度量衡单位</w:t>
      </w:r>
      <w:bookmarkEnd w:id="46"/>
      <w:bookmarkEnd w:id="47"/>
      <w:bookmarkEnd w:id="48"/>
      <w:bookmarkEnd w:id="49"/>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供应商提交的响应文件以及供应商与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就有关</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的所有来往通知、函件和文件均应使用简体中文。</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除技术性能另有规定外，响应文件所使用的度量衡单位，均须采用国家法定计量单位。</w:t>
      </w:r>
    </w:p>
    <w:p>
      <w:pPr>
        <w:pStyle w:val="4"/>
        <w:spacing w:before="0" w:after="0" w:line="360" w:lineRule="auto"/>
        <w:rPr>
          <w:rFonts w:ascii="仿宋" w:hAnsi="仿宋" w:eastAsia="仿宋"/>
          <w:color w:val="auto"/>
          <w:sz w:val="24"/>
          <w:szCs w:val="24"/>
          <w:highlight w:val="none"/>
        </w:rPr>
      </w:pPr>
      <w:bookmarkStart w:id="50" w:name="_Toc513029215"/>
      <w:bookmarkStart w:id="51" w:name="_Toc20823287"/>
      <w:bookmarkStart w:id="52" w:name="_Toc16938531"/>
      <w:bookmarkStart w:id="53" w:name="_Toc462564074"/>
      <w:r>
        <w:rPr>
          <w:rFonts w:ascii="仿宋" w:hAnsi="仿宋" w:eastAsia="仿宋"/>
          <w:color w:val="auto"/>
          <w:sz w:val="24"/>
          <w:szCs w:val="24"/>
          <w:highlight w:val="none"/>
        </w:rPr>
        <w:t>2.响应文件构成</w:t>
      </w:r>
      <w:bookmarkEnd w:id="50"/>
      <w:bookmarkEnd w:id="51"/>
      <w:bookmarkEnd w:id="52"/>
      <w:bookmarkEnd w:id="53"/>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供应商编写的响应文件应包括资格审查证明材料文件、商务技术标文件、价格标文件。供应商按“第</w:t>
      </w:r>
      <w:r>
        <w:rPr>
          <w:rFonts w:hint="eastAsia" w:ascii="仿宋" w:hAnsi="仿宋" w:eastAsia="仿宋" w:cs="仿宋"/>
          <w:color w:val="auto"/>
          <w:sz w:val="24"/>
          <w:szCs w:val="24"/>
          <w:highlight w:val="none"/>
        </w:rPr>
        <w:t>六</w:t>
      </w:r>
      <w:r>
        <w:rPr>
          <w:rFonts w:ascii="仿宋" w:hAnsi="仿宋" w:eastAsia="仿宋" w:cs="仿宋"/>
          <w:color w:val="auto"/>
          <w:sz w:val="24"/>
          <w:szCs w:val="24"/>
          <w:highlight w:val="none"/>
        </w:rPr>
        <w:t>部分 响应文件组成”要求编写响应文件。</w:t>
      </w:r>
    </w:p>
    <w:p>
      <w:pPr>
        <w:pStyle w:val="4"/>
        <w:spacing w:before="0" w:after="0" w:line="360" w:lineRule="auto"/>
        <w:rPr>
          <w:rFonts w:ascii="仿宋" w:hAnsi="仿宋" w:eastAsia="仿宋"/>
          <w:color w:val="auto"/>
          <w:sz w:val="24"/>
          <w:szCs w:val="24"/>
          <w:highlight w:val="none"/>
        </w:rPr>
      </w:pPr>
      <w:bookmarkStart w:id="54" w:name="_Hlt26954838"/>
      <w:bookmarkEnd w:id="54"/>
      <w:bookmarkStart w:id="55" w:name="_Hlt26668975"/>
      <w:bookmarkEnd w:id="55"/>
      <w:bookmarkStart w:id="56" w:name="_Hlt26670360"/>
      <w:bookmarkEnd w:id="56"/>
      <w:bookmarkStart w:id="57" w:name="_Toc49090511"/>
      <w:bookmarkStart w:id="58" w:name="_Toc14577360"/>
      <w:r>
        <w:rPr>
          <w:rFonts w:ascii="仿宋" w:hAnsi="仿宋" w:eastAsia="仿宋"/>
          <w:color w:val="auto"/>
          <w:sz w:val="24"/>
          <w:szCs w:val="24"/>
          <w:highlight w:val="none"/>
        </w:rPr>
        <w:t>3.</w:t>
      </w:r>
      <w:bookmarkEnd w:id="57"/>
      <w:bookmarkEnd w:id="58"/>
      <w:r>
        <w:rPr>
          <w:rFonts w:hint="eastAsia" w:ascii="仿宋" w:hAnsi="仿宋" w:eastAsia="仿宋"/>
          <w:color w:val="auto"/>
          <w:sz w:val="24"/>
          <w:szCs w:val="24"/>
          <w:highlight w:val="none"/>
        </w:rPr>
        <w:t>询价</w:t>
      </w:r>
      <w:r>
        <w:rPr>
          <w:rFonts w:ascii="仿宋" w:hAnsi="仿宋" w:eastAsia="仿宋"/>
          <w:color w:val="auto"/>
          <w:sz w:val="24"/>
          <w:szCs w:val="24"/>
          <w:highlight w:val="none"/>
        </w:rPr>
        <w:t>响应有效期</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响应有效期为</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规定的响应文件提交截止时间后六十（60）天。</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响应有效期比规定短的将被视为非实质性响应而予以拒绝。</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询价</w:t>
      </w:r>
      <w:r>
        <w:rPr>
          <w:rFonts w:ascii="仿宋" w:hAnsi="仿宋" w:eastAsia="仿宋"/>
          <w:color w:val="auto"/>
          <w:sz w:val="24"/>
          <w:szCs w:val="24"/>
          <w:highlight w:val="none"/>
        </w:rPr>
        <w:t>响应有效期的延长</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在特殊情况下，</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于原</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响应有效期满之前，可向供应商提出延长</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响应有效期的要求。这种要求与答复均应采用书面形式。供应商可以拒绝</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的这一要求而放弃响应，同意延长</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响应有效期的供应商既不能要求也不允许修改其响应文件。受</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响应有效期约束的所有权利与义务均延长至新的有效期。</w:t>
      </w:r>
    </w:p>
    <w:p>
      <w:pPr>
        <w:pStyle w:val="3"/>
        <w:spacing w:before="0" w:after="0" w:line="360" w:lineRule="auto"/>
        <w:rPr>
          <w:rFonts w:ascii="仿宋" w:hAnsi="仿宋" w:eastAsia="仿宋"/>
          <w:color w:val="auto"/>
          <w:sz w:val="24"/>
          <w:szCs w:val="24"/>
          <w:highlight w:val="none"/>
        </w:rPr>
      </w:pPr>
      <w:bookmarkStart w:id="59" w:name="_Hlt26954739"/>
      <w:bookmarkEnd w:id="59"/>
      <w:bookmarkStart w:id="60" w:name="_Hlt26954852"/>
      <w:bookmarkEnd w:id="60"/>
      <w:bookmarkStart w:id="61" w:name="_Toc120614217"/>
      <w:bookmarkStart w:id="62" w:name="_Toc20823296"/>
      <w:bookmarkStart w:id="63" w:name="_Toc16938540"/>
      <w:bookmarkStart w:id="64" w:name="_Toc513029224"/>
      <w:r>
        <w:rPr>
          <w:rFonts w:ascii="仿宋" w:hAnsi="仿宋" w:eastAsia="仿宋"/>
          <w:color w:val="auto"/>
          <w:sz w:val="24"/>
          <w:szCs w:val="24"/>
          <w:highlight w:val="none"/>
        </w:rPr>
        <w:t>（四）响应文件的提交</w:t>
      </w:r>
      <w:bookmarkEnd w:id="61"/>
      <w:bookmarkEnd w:id="62"/>
      <w:bookmarkEnd w:id="63"/>
      <w:bookmarkEnd w:id="64"/>
    </w:p>
    <w:p>
      <w:pPr>
        <w:pStyle w:val="4"/>
        <w:spacing w:before="0" w:after="0" w:line="360" w:lineRule="auto"/>
        <w:rPr>
          <w:rFonts w:ascii="仿宋" w:hAnsi="仿宋" w:eastAsia="仿宋"/>
          <w:color w:val="auto"/>
          <w:sz w:val="24"/>
          <w:szCs w:val="24"/>
          <w:highlight w:val="none"/>
        </w:rPr>
      </w:pPr>
      <w:bookmarkStart w:id="65" w:name="_Toc16938541"/>
      <w:bookmarkStart w:id="66" w:name="_Toc462564084"/>
      <w:bookmarkStart w:id="67" w:name="_Toc20823297"/>
      <w:bookmarkStart w:id="68" w:name="_Toc513029225"/>
      <w:r>
        <w:rPr>
          <w:rFonts w:ascii="仿宋" w:hAnsi="仿宋" w:eastAsia="仿宋"/>
          <w:color w:val="auto"/>
          <w:sz w:val="24"/>
          <w:szCs w:val="24"/>
          <w:highlight w:val="none"/>
        </w:rPr>
        <w:t>1.</w:t>
      </w:r>
      <w:bookmarkEnd w:id="65"/>
      <w:bookmarkEnd w:id="66"/>
      <w:bookmarkEnd w:id="67"/>
      <w:bookmarkEnd w:id="68"/>
      <w:r>
        <w:rPr>
          <w:rFonts w:hint="eastAsia" w:ascii="仿宋" w:hAnsi="仿宋" w:eastAsia="仿宋"/>
          <w:color w:val="auto"/>
          <w:sz w:val="24"/>
          <w:szCs w:val="24"/>
          <w:highlight w:val="none"/>
        </w:rPr>
        <w:t>响应文件的密封及标记</w:t>
      </w:r>
    </w:p>
    <w:p>
      <w:pPr>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资格审查文件、商务技术响应文件、报价响应文件可合并制作（一正二副，密封并牢固装订）。</w:t>
      </w:r>
    </w:p>
    <w:p>
      <w:pPr>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密封后应标明响应文件项目名称、项目编号、边缝处加盖单位骑缝章或骑缝签字，并注明于开标前不得启封。</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将拒绝接收未按照采购文件要求密封的响应文件</w:t>
      </w:r>
      <w:r>
        <w:rPr>
          <w:rFonts w:ascii="仿宋" w:hAnsi="仿宋" w:eastAsia="仿宋" w:cs="仿宋"/>
          <w:color w:val="auto"/>
          <w:sz w:val="24"/>
          <w:szCs w:val="24"/>
          <w:highlight w:val="none"/>
        </w:rPr>
        <w:t>。</w:t>
      </w:r>
      <w:bookmarkStart w:id="69" w:name="_Toc513029226"/>
      <w:bookmarkStart w:id="70" w:name="_Toc20823298"/>
      <w:bookmarkStart w:id="71" w:name="_Toc16938542"/>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2.响应文件截止日期</w:t>
      </w:r>
      <w:bookmarkEnd w:id="69"/>
      <w:bookmarkEnd w:id="70"/>
      <w:bookmarkEnd w:id="71"/>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供应商</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响应文件的时间不得迟于询价公告中规定的响应文件提交截止时间。</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可以按照规定，通过修改响应文件酌情延长响应文件提交截止日期，在此情况下，供应商的所有权利和义务以及供应商受制的截止日期均应以延长后新的截止日期为准。</w:t>
      </w:r>
    </w:p>
    <w:p>
      <w:pPr>
        <w:pStyle w:val="4"/>
        <w:spacing w:before="0" w:after="0" w:line="360" w:lineRule="auto"/>
        <w:rPr>
          <w:rFonts w:ascii="仿宋" w:hAnsi="仿宋" w:eastAsia="仿宋"/>
          <w:color w:val="auto"/>
          <w:sz w:val="24"/>
          <w:szCs w:val="24"/>
          <w:highlight w:val="none"/>
        </w:rPr>
      </w:pPr>
      <w:bookmarkStart w:id="72" w:name="_Toc513029227"/>
      <w:bookmarkStart w:id="73" w:name="_Toc16938543"/>
      <w:bookmarkStart w:id="74" w:name="_Toc20823299"/>
      <w:r>
        <w:rPr>
          <w:rFonts w:ascii="仿宋" w:hAnsi="仿宋" w:eastAsia="仿宋"/>
          <w:color w:val="auto"/>
          <w:sz w:val="24"/>
          <w:szCs w:val="24"/>
          <w:highlight w:val="none"/>
        </w:rPr>
        <w:t>3.响应文件</w:t>
      </w:r>
      <w:bookmarkEnd w:id="72"/>
      <w:bookmarkEnd w:id="73"/>
      <w:bookmarkEnd w:id="74"/>
      <w:r>
        <w:rPr>
          <w:rFonts w:ascii="仿宋" w:hAnsi="仿宋" w:eastAsia="仿宋"/>
          <w:color w:val="auto"/>
          <w:sz w:val="24"/>
          <w:szCs w:val="24"/>
          <w:highlight w:val="none"/>
        </w:rPr>
        <w:t>的拒收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拒绝接收在其规定的响应文件提交截止时间后</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的任何响应文件。</w:t>
      </w:r>
    </w:p>
    <w:p>
      <w:pPr>
        <w:pStyle w:val="4"/>
        <w:spacing w:before="0" w:after="0" w:line="360" w:lineRule="auto"/>
        <w:rPr>
          <w:rFonts w:ascii="仿宋" w:hAnsi="仿宋" w:eastAsia="仿宋"/>
          <w:color w:val="auto"/>
          <w:sz w:val="24"/>
          <w:szCs w:val="24"/>
          <w:highlight w:val="none"/>
        </w:rPr>
      </w:pPr>
      <w:bookmarkStart w:id="75" w:name="_Toc513029228"/>
      <w:bookmarkStart w:id="76" w:name="_Toc20823300"/>
      <w:bookmarkStart w:id="77" w:name="_Toc16938544"/>
      <w:r>
        <w:rPr>
          <w:rFonts w:ascii="仿宋" w:hAnsi="仿宋" w:eastAsia="仿宋"/>
          <w:color w:val="auto"/>
          <w:sz w:val="24"/>
          <w:szCs w:val="24"/>
          <w:highlight w:val="none"/>
        </w:rPr>
        <w:t>4.响应文件的撤回和修改</w:t>
      </w:r>
      <w:bookmarkEnd w:id="75"/>
      <w:bookmarkEnd w:id="76"/>
      <w:bookmarkEnd w:id="77"/>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响应文件的撤回</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4.1.1 响应文件的撤回</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供应商可在响应文件提交截止时间前，撤回其响应文件。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4.1.2 供应商撤回响应文件，则认为其不再参与本项目</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活动。</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4.2 响应文件的修改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供应商可在响应文件提交截止时间前，对其响应文件进行修改。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4.3 在响应文件提交截止时间之后，供应商不得对其响应文件作任何修改。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4.4 在响应文件截止时间至</w:t>
      </w:r>
      <w:r>
        <w:rPr>
          <w:rFonts w:hint="eastAsia" w:ascii="仿宋" w:hAnsi="仿宋" w:eastAsia="仿宋" w:cs="仿宋"/>
          <w:color w:val="auto"/>
          <w:sz w:val="24"/>
          <w:szCs w:val="24"/>
          <w:highlight w:val="none"/>
        </w:rPr>
        <w:t>采购文件</w:t>
      </w:r>
      <w:r>
        <w:rPr>
          <w:rFonts w:ascii="仿宋" w:hAnsi="仿宋" w:eastAsia="仿宋" w:cs="仿宋"/>
          <w:color w:val="auto"/>
          <w:sz w:val="24"/>
          <w:szCs w:val="24"/>
          <w:highlight w:val="none"/>
        </w:rPr>
        <w:t>中规定的</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响应有效期满之间的这段时间内，供应商不得撤回其响应文件。</w:t>
      </w:r>
    </w:p>
    <w:p>
      <w:pPr>
        <w:pStyle w:val="4"/>
        <w:spacing w:before="0" w:after="0"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5</w:t>
      </w:r>
      <w:r>
        <w:rPr>
          <w:rFonts w:ascii="仿宋" w:hAnsi="仿宋" w:eastAsia="仿宋"/>
          <w:color w:val="auto"/>
          <w:sz w:val="24"/>
          <w:szCs w:val="24"/>
          <w:highlight w:val="none"/>
        </w:rPr>
        <w:t>.</w:t>
      </w:r>
      <w:r>
        <w:rPr>
          <w:rFonts w:hint="eastAsia" w:ascii="仿宋" w:hAnsi="仿宋" w:eastAsia="仿宋"/>
          <w:color w:val="auto"/>
          <w:sz w:val="24"/>
          <w:szCs w:val="24"/>
          <w:highlight w:val="none"/>
        </w:rPr>
        <w:t>询价响应报价</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rPr>
        <w:t>本项目只允许一个报价，不接受任何有选择的报价。</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5.2 </w:t>
      </w:r>
      <w:r>
        <w:rPr>
          <w:rFonts w:hint="eastAsia" w:ascii="仿宋" w:hAnsi="仿宋" w:eastAsia="仿宋" w:cs="仿宋"/>
          <w:color w:val="auto"/>
          <w:sz w:val="24"/>
          <w:szCs w:val="24"/>
          <w:highlight w:val="none"/>
        </w:rPr>
        <w:t>报价均以人民币为报价的货币单位。</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rPr>
        <w:t>报价表必须加盖询价响应供应商公章且必须经法定代表人或其委托授权人签署。</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5.4 </w:t>
      </w:r>
      <w:r>
        <w:rPr>
          <w:rFonts w:hint="eastAsia" w:ascii="仿宋" w:hAnsi="仿宋" w:eastAsia="仿宋" w:cs="仿宋"/>
          <w:color w:val="auto"/>
          <w:sz w:val="24"/>
          <w:szCs w:val="24"/>
          <w:highlight w:val="none"/>
        </w:rPr>
        <w:t>询价响应文件报价出现前后不一致的，按照下列规定修正：</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询价响应文件中报价表内容与询价响应文件中明细内容不一致的，以报价表为准；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.4.2 </w:t>
      </w:r>
      <w:r>
        <w:rPr>
          <w:rFonts w:hint="eastAsia" w:ascii="仿宋" w:hAnsi="仿宋" w:eastAsia="仿宋" w:cs="仿宋"/>
          <w:color w:val="auto"/>
          <w:sz w:val="24"/>
          <w:szCs w:val="24"/>
          <w:highlight w:val="none"/>
        </w:rPr>
        <w:t>大写金额和小写金额不一致的，以大写金额为准；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.4.3 </w:t>
      </w:r>
      <w:r>
        <w:rPr>
          <w:rFonts w:hint="eastAsia" w:ascii="仿宋" w:hAnsi="仿宋" w:eastAsia="仿宋" w:cs="仿宋"/>
          <w:color w:val="auto"/>
          <w:sz w:val="24"/>
          <w:szCs w:val="24"/>
          <w:highlight w:val="none"/>
        </w:rPr>
        <w:t>单价金额小数点或者百分比有明显错位的，以询价响应报价总表中的总价为准，并修改单价；</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.4.4 </w:t>
      </w:r>
      <w:r>
        <w:rPr>
          <w:rFonts w:hint="eastAsia" w:ascii="仿宋" w:hAnsi="仿宋" w:eastAsia="仿宋" w:cs="仿宋"/>
          <w:color w:val="auto"/>
          <w:sz w:val="24"/>
          <w:szCs w:val="24"/>
          <w:highlight w:val="none"/>
        </w:rPr>
        <w:t>总价金额与按单价汇总金额不一致的，以单价金额计算结果为准。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ascii="仿宋" w:hAnsi="仿宋" w:eastAsia="仿宋" w:cs="仿宋"/>
          <w:color w:val="auto"/>
          <w:sz w:val="24"/>
          <w:szCs w:val="24"/>
          <w:highlight w:val="none"/>
        </w:rPr>
        <w:t xml:space="preserve">.4.5 </w:t>
      </w:r>
      <w:r>
        <w:rPr>
          <w:rFonts w:hint="eastAsia" w:ascii="仿宋" w:hAnsi="仿宋" w:eastAsia="仿宋" w:cs="仿宋"/>
          <w:color w:val="auto"/>
          <w:sz w:val="24"/>
          <w:szCs w:val="24"/>
          <w:highlight w:val="none"/>
        </w:rPr>
        <w:t>同时出现两种以上不一致的，按照前款规定的顺序修正。修正后的报价经询价响应供应商确认后产生约束力，询价响应供应商不确认的，其询价响应无效。</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5.5 </w:t>
      </w:r>
      <w:r>
        <w:rPr>
          <w:rFonts w:hint="eastAsia" w:ascii="仿宋" w:hAnsi="仿宋" w:eastAsia="仿宋" w:cs="仿宋"/>
          <w:color w:val="auto"/>
          <w:sz w:val="24"/>
          <w:szCs w:val="24"/>
          <w:highlight w:val="none"/>
        </w:rPr>
        <w:t>询价响应报价总价应包括本项目的全部费用(含一切必须的辅助材料费用)及相关服务费等。</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5.6 </w:t>
      </w:r>
      <w:r>
        <w:rPr>
          <w:rFonts w:hint="eastAsia" w:ascii="仿宋" w:hAnsi="仿宋" w:eastAsia="仿宋" w:cs="仿宋"/>
          <w:b/>
          <w:bCs/>
          <w:color w:val="auto"/>
          <w:sz w:val="24"/>
          <w:szCs w:val="24"/>
          <w:highlight w:val="none"/>
        </w:rPr>
        <w:t>本次询价采购活动项目的响应报价为一次报定价。</w:t>
      </w:r>
      <w:r>
        <w:rPr>
          <w:rFonts w:hint="eastAsia" w:ascii="仿宋" w:hAnsi="仿宋" w:eastAsia="仿宋" w:cs="仿宋"/>
          <w:color w:val="auto"/>
          <w:sz w:val="24"/>
          <w:szCs w:val="24"/>
          <w:highlight w:val="none"/>
        </w:rPr>
        <w:t>询价响应成交后，报价即为成交价，除非因特殊原因并经买卖双方协商同意，成交供应商不得再要求追加任何费用。同时，除非合同条款中另有规定，否则成交供应商的成交价在合同实施期间不因市场变化因素而变动。</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5.7 </w:t>
      </w:r>
      <w:r>
        <w:rPr>
          <w:rFonts w:hint="eastAsia" w:ascii="仿宋" w:hAnsi="仿宋" w:eastAsia="仿宋" w:cs="仿宋"/>
          <w:color w:val="auto"/>
          <w:sz w:val="24"/>
          <w:szCs w:val="24"/>
          <w:highlight w:val="none"/>
        </w:rPr>
        <w:t>如因采购人实际需求，货物或服务数量发生变化，成交人须无条件满足采购人需求，确保货物或服务质量；结算时按实际供货物或服务量进行结算，综合单价不变。</w:t>
      </w:r>
    </w:p>
    <w:p>
      <w:pPr>
        <w:pStyle w:val="3"/>
        <w:spacing w:before="0" w:after="0" w:line="360" w:lineRule="auto"/>
        <w:rPr>
          <w:rFonts w:ascii="仿宋" w:hAnsi="仿宋" w:eastAsia="仿宋"/>
          <w:color w:val="auto"/>
          <w:sz w:val="24"/>
          <w:szCs w:val="24"/>
          <w:highlight w:val="none"/>
        </w:rPr>
      </w:pPr>
      <w:bookmarkStart w:id="78" w:name="_Toc20823301"/>
      <w:bookmarkStart w:id="79" w:name="_Toc16938545"/>
      <w:bookmarkStart w:id="80" w:name="_Toc120614218"/>
      <w:bookmarkStart w:id="81" w:name="_Toc513029229"/>
      <w:r>
        <w:rPr>
          <w:rFonts w:ascii="仿宋" w:hAnsi="仿宋" w:eastAsia="仿宋"/>
          <w:color w:val="auto"/>
          <w:sz w:val="24"/>
          <w:szCs w:val="24"/>
          <w:highlight w:val="none"/>
        </w:rPr>
        <w:t>（五）</w:t>
      </w:r>
      <w:bookmarkEnd w:id="78"/>
      <w:bookmarkEnd w:id="79"/>
      <w:bookmarkEnd w:id="80"/>
      <w:bookmarkEnd w:id="81"/>
      <w:bookmarkStart w:id="82" w:name="_Toc20823302"/>
      <w:bookmarkStart w:id="83" w:name="_Toc16938546"/>
      <w:bookmarkStart w:id="84" w:name="_Toc513029230"/>
      <w:r>
        <w:rPr>
          <w:rFonts w:hint="eastAsia" w:ascii="仿宋" w:hAnsi="仿宋" w:eastAsia="仿宋"/>
          <w:color w:val="auto"/>
          <w:sz w:val="24"/>
          <w:szCs w:val="24"/>
          <w:highlight w:val="none"/>
        </w:rPr>
        <w:t>开标</w:t>
      </w:r>
      <w:r>
        <w:rPr>
          <w:rFonts w:ascii="仿宋" w:hAnsi="仿宋" w:eastAsia="仿宋"/>
          <w:color w:val="auto"/>
          <w:sz w:val="24"/>
          <w:szCs w:val="24"/>
          <w:highlight w:val="none"/>
        </w:rPr>
        <w:t>与评审</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开标</w:t>
      </w:r>
      <w:r>
        <w:rPr>
          <w:rFonts w:ascii="仿宋" w:hAnsi="仿宋" w:eastAsia="仿宋"/>
          <w:color w:val="auto"/>
          <w:sz w:val="24"/>
          <w:szCs w:val="24"/>
          <w:highlight w:val="none"/>
        </w:rPr>
        <w:t>仪式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将在询价公告中规定的时间和地点组织</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开始仪式。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活动由</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组织，</w:t>
      </w:r>
      <w:r>
        <w:rPr>
          <w:rFonts w:hint="eastAsia" w:ascii="仿宋" w:hAnsi="仿宋" w:eastAsia="仿宋" w:cs="仿宋"/>
          <w:color w:val="auto"/>
          <w:sz w:val="24"/>
          <w:szCs w:val="24"/>
          <w:highlight w:val="none"/>
        </w:rPr>
        <w:t>开标结束后</w:t>
      </w:r>
      <w:r>
        <w:rPr>
          <w:rFonts w:ascii="仿宋" w:hAnsi="仿宋" w:eastAsia="仿宋" w:cs="仿宋"/>
          <w:color w:val="auto"/>
          <w:sz w:val="24"/>
          <w:szCs w:val="24"/>
          <w:highlight w:val="none"/>
        </w:rPr>
        <w:t>公布各供应商的</w:t>
      </w:r>
      <w:r>
        <w:rPr>
          <w:rFonts w:hint="eastAsia" w:ascii="仿宋" w:hAnsi="仿宋" w:eastAsia="仿宋" w:cs="仿宋"/>
          <w:color w:val="auto"/>
          <w:sz w:val="24"/>
          <w:szCs w:val="24"/>
          <w:highlight w:val="none"/>
        </w:rPr>
        <w:t>投标</w:t>
      </w:r>
      <w:r>
        <w:rPr>
          <w:rFonts w:ascii="仿宋" w:hAnsi="仿宋" w:eastAsia="仿宋" w:cs="仿宋"/>
          <w:color w:val="auto"/>
          <w:sz w:val="24"/>
          <w:szCs w:val="24"/>
          <w:highlight w:val="none"/>
        </w:rPr>
        <w:t>报价。</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评标</w:t>
      </w:r>
      <w:r>
        <w:rPr>
          <w:rFonts w:ascii="仿宋" w:hAnsi="仿宋" w:eastAsia="仿宋"/>
          <w:color w:val="auto"/>
          <w:sz w:val="24"/>
          <w:szCs w:val="24"/>
          <w:highlight w:val="none"/>
        </w:rPr>
        <w:t>小组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开标</w:t>
      </w:r>
      <w:r>
        <w:rPr>
          <w:rFonts w:ascii="仿宋" w:hAnsi="仿宋" w:eastAsia="仿宋" w:cs="仿宋"/>
          <w:color w:val="auto"/>
          <w:sz w:val="24"/>
          <w:szCs w:val="24"/>
          <w:highlight w:val="none"/>
        </w:rPr>
        <w:t>开始仪式结束后，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将立即组织</w:t>
      </w:r>
      <w:r>
        <w:rPr>
          <w:rFonts w:hint="eastAsia" w:ascii="仿宋" w:hAnsi="仿宋" w:eastAsia="仿宋" w:cs="仿宋"/>
          <w:color w:val="auto"/>
          <w:sz w:val="24"/>
          <w:szCs w:val="24"/>
          <w:highlight w:val="none"/>
        </w:rPr>
        <w:t>评标</w:t>
      </w:r>
      <w:r>
        <w:rPr>
          <w:rFonts w:ascii="仿宋" w:hAnsi="仿宋" w:eastAsia="仿宋" w:cs="仿宋"/>
          <w:color w:val="auto"/>
          <w:sz w:val="24"/>
          <w:szCs w:val="24"/>
          <w:highlight w:val="none"/>
        </w:rPr>
        <w:t>小组进行评审。</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评标小组由采购人代表和评审专家共3人以上单数组成，其中评审专家人数不得少于评标小组成员总数的2/3。采购人不得以评审专家身份参加本部门或本单位采购项目的评审。</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2.3 评标小组独立工作，负责评审所有响应文件并确定成交</w:t>
      </w:r>
      <w:r>
        <w:rPr>
          <w:rFonts w:hint="eastAsia" w:ascii="仿宋" w:hAnsi="仿宋" w:eastAsia="仿宋" w:cs="仿宋"/>
          <w:color w:val="auto"/>
          <w:sz w:val="24"/>
          <w:szCs w:val="24"/>
          <w:highlight w:val="none"/>
          <w:lang w:eastAsia="zh-CN"/>
        </w:rPr>
        <w:t>候选人</w:t>
      </w:r>
      <w:r>
        <w:rPr>
          <w:rFonts w:ascii="仿宋" w:hAnsi="仿宋" w:eastAsia="仿宋" w:cs="仿宋"/>
          <w:color w:val="auto"/>
          <w:sz w:val="24"/>
          <w:szCs w:val="24"/>
          <w:highlight w:val="none"/>
        </w:rPr>
        <w:t>。</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3.评审过程的保密与公正</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3.1 评标小组、</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工作人员、相关监督人员等与评审工作有关的人员，对评审情况以及在评审过程中获悉的国家秘密、商业秘密负有保密责任。</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3.2 在评审过程中，供应商不得以任何行为影响评审过程，否则其响应文件将被作为无效响应文件。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3.3 评标小组成员应当按照客观、公正、审慎的原则，根据采购文件规定的评审程序、评审方法和评审标准进行独立评审。未实质性响应采购文件的响应文件按无效响应处理，评标小组应当告知提交响应文件的供应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3.4 评审开始后，直至向成交供应商授予合同时止，凡是与审查、澄清、评价和比较响应的有关资料以及授标建议等，采购人、评标小组、</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均不得向供应商或与评标无关的其他人员透露。</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3.5 在评审期间，</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将设专门人员与供应商联系。</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3.6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和评审小组不向未成交的供应商解释未成交原因，也不公布评审过程中的相关细节。</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rPr>
        <w:t>.</w:t>
      </w:r>
      <w:r>
        <w:rPr>
          <w:rFonts w:ascii="仿宋" w:hAnsi="仿宋" w:eastAsia="仿宋"/>
          <w:color w:val="auto"/>
          <w:sz w:val="24"/>
          <w:szCs w:val="24"/>
          <w:highlight w:val="none"/>
        </w:rPr>
        <w:t>评审过程的澄清</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4.1 评审期间，为有助于对响应文件的审查、评价和比较，评标小组有权以电子函件形式要求响应人对其响应文件进行澄清，但并非对每个供应商都作澄清要求。</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4.2 接到评标小组澄清要求的供应商应派人按评标小组规定的时间和格式做出澄清，澄清的内容作为响应文件的补充部分，但实质性的内容不得做任何更改。</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4.3 接到评标小组澄清要求的供应商如未按规定做出澄清，其风险由供应商自行承担。</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5.对响应文件的初审</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 响应文件初审分为资格性审查和符合性审查。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5.1.1 资格性检查：依据法律法规和采购文件的规定，由采购人对响应文件中的资格审查证明材料进行审查，资格审查的结论，采购人以书面形式向评标小组进行反馈。</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5.1.2 符合性审查：依据采购文件的规定，由评标小组从响应文件的有效性、完整性和对采购文件的响应程度进行审查，以确定是否对采购文件的实质性要求作出响应。</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5.1.3 未通过资格审查或符合性审查的供应商，</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将告知未通过资格审查或符合性审查的原因，评审结束后，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将不再告知未通过资格审查或符合性审查的原因。</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5.2 在正式</w:t>
      </w:r>
      <w:r>
        <w:rPr>
          <w:rFonts w:hint="eastAsia" w:ascii="仿宋" w:hAnsi="仿宋" w:eastAsia="仿宋" w:cs="仿宋"/>
          <w:color w:val="auto"/>
          <w:sz w:val="24"/>
          <w:szCs w:val="24"/>
          <w:highlight w:val="none"/>
        </w:rPr>
        <w:t>评标</w:t>
      </w:r>
      <w:r>
        <w:rPr>
          <w:rFonts w:ascii="仿宋" w:hAnsi="仿宋" w:eastAsia="仿宋" w:cs="仿宋"/>
          <w:color w:val="auto"/>
          <w:sz w:val="24"/>
          <w:szCs w:val="24"/>
          <w:highlight w:val="none"/>
        </w:rPr>
        <w:t>之前，评标小组将首先审查每份响应文件是否实质性响应了采购文件的要求。实质性响应的响应文件应该是与采购文件要求的全部条款、条件和规格相符，没有重大负偏离或保留。</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所谓重大负偏离或保留是指与采购文件规定的实质性要求存在负偏离，或者在实质上与采购文件不一致，而且限制了合同中买方和见证方的权利或供应商的义务，纠正这些偏离或保留将会对其他实质性响应要求的供应商的竞争地位产生不公正的影响。重大偏离由评标小组按照少数服从多数的原则认定。评标小组决定响应文件的响应性只根据响应文件本身的内容，而不寻求外部的证据。</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5.3 如果响应文件实质上没有响应采购文件的要求，评标小组将予以拒绝，供应商不得通过修改或撤销不合要求的偏离或保留而使其响应文件成为实质性响应的文件。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5.4 评标小组将允许修正响应文件中不构成重大偏离的、微小的、非正规的、不一致的或不规则的地方，但这些修改不能影响任何供应商相应的名次排列。</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5.5 供应商在评审全过程中应保持通讯畅通，并安排专人与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及评标小组联系。</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6.被认定为未实质性响应采购文件的响应文件的情形。</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 出现下列情形之一的，作无效响应处理。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 供应商在规定的时间内未成功</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6.1.2 未完整</w:t>
      </w:r>
      <w:r>
        <w:rPr>
          <w:rFonts w:hint="eastAsia" w:ascii="仿宋" w:hAnsi="仿宋" w:eastAsia="仿宋" w:cs="仿宋"/>
          <w:color w:val="auto"/>
          <w:sz w:val="24"/>
          <w:szCs w:val="24"/>
          <w:highlight w:val="none"/>
        </w:rPr>
        <w:t>提交</w:t>
      </w:r>
      <w:r>
        <w:rPr>
          <w:rFonts w:ascii="仿宋" w:hAnsi="仿宋" w:eastAsia="仿宋" w:cs="仿宋"/>
          <w:color w:val="auto"/>
          <w:sz w:val="24"/>
          <w:szCs w:val="24"/>
          <w:highlight w:val="none"/>
        </w:rPr>
        <w:t>响应文件文档的。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6.1.3 同一供应商提交两个（含两个）以上不同的响应报价的。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6.1.4 不具备采购文件中规定的资格要求的。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6.1.5 响应报价超过了采购预算或最高限价的。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6.1.6 未通过符合性检查的。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6.1.7 不符合法律、法规和采购文件中规定的其他实质性要求的。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6.1.8 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6.1.9 响应文件含有采购人不能接受的附加条件的。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6.1.10 评标小组认为供应商的报价明显低于其他通过符合性审查供应商的报价，有可能影响产品质量或者不能诚信履约的，将要求其在合理的时间内提供说明，必要时提交相关证明材料；供应商不能证明其报价合理性的，评标小组应当将其作为无效响应处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6.1.11 响应文件未按照采购文件要求加盖签章。</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6.1.12 不同的供应商响应文件</w:t>
      </w:r>
      <w:r>
        <w:rPr>
          <w:rFonts w:hint="eastAsia" w:ascii="仿宋" w:hAnsi="仿宋" w:eastAsia="仿宋" w:cs="仿宋"/>
          <w:color w:val="auto"/>
          <w:sz w:val="24"/>
          <w:szCs w:val="24"/>
          <w:highlight w:val="none"/>
        </w:rPr>
        <w:t>制作雷同的</w:t>
      </w:r>
      <w:r>
        <w:rPr>
          <w:rFonts w:ascii="仿宋" w:hAnsi="仿宋" w:eastAsia="仿宋" w:cs="仿宋"/>
          <w:color w:val="auto"/>
          <w:sz w:val="24"/>
          <w:szCs w:val="24"/>
          <w:highlight w:val="none"/>
        </w:rPr>
        <w:t>。</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6.1.13 其他法律、法规及本采购文件规定的属无效响应的情形。</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 出现下列情形之一的，</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失败。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6.2.1 符合条件的供应商或者对采购文件作实质响应的供应商不足3家的（市场竞争不充分的科研项目，以及需要扶持的科技成果转化项目可以是2家）；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6.2.2 出现影响采购公正的违法违规行为的；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6.2.3 因重大变故，采购任务取消的。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6.2.4 评标小组认定采购文件存在歧义、重大缺陷导致评审工作无法进行。</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6.3 响应文件提交截止时间结束后参加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的供应商不足三家的处理：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6.3.1 如出现响应文件提交截止时间结束后参加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的供应商或者在评审期间对采购文件做出实质响应的供应商不足三家情况，按政府采购相关规定执行。</w:t>
      </w:r>
    </w:p>
    <w:bookmarkEnd w:id="82"/>
    <w:bookmarkEnd w:id="83"/>
    <w:bookmarkEnd w:id="84"/>
    <w:p>
      <w:pPr>
        <w:pStyle w:val="3"/>
        <w:spacing w:before="0" w:after="0" w:line="360" w:lineRule="auto"/>
        <w:rPr>
          <w:rFonts w:ascii="仿宋" w:hAnsi="仿宋" w:eastAsia="仿宋"/>
          <w:color w:val="auto"/>
          <w:sz w:val="24"/>
          <w:szCs w:val="24"/>
          <w:highlight w:val="none"/>
        </w:rPr>
      </w:pPr>
      <w:bookmarkStart w:id="85" w:name="_Toc120614219"/>
      <w:r>
        <w:rPr>
          <w:rFonts w:ascii="仿宋" w:hAnsi="仿宋" w:eastAsia="仿宋"/>
          <w:color w:val="auto"/>
          <w:sz w:val="24"/>
          <w:szCs w:val="24"/>
          <w:highlight w:val="none"/>
        </w:rPr>
        <w:t>（六）</w:t>
      </w:r>
      <w:bookmarkEnd w:id="85"/>
      <w:r>
        <w:rPr>
          <w:rFonts w:ascii="仿宋" w:hAnsi="仿宋" w:eastAsia="仿宋"/>
          <w:color w:val="auto"/>
          <w:sz w:val="24"/>
          <w:szCs w:val="24"/>
          <w:highlight w:val="none"/>
        </w:rPr>
        <w:t>成交</w:t>
      </w:r>
    </w:p>
    <w:p>
      <w:pPr>
        <w:pStyle w:val="4"/>
        <w:spacing w:before="0" w:after="0" w:line="360" w:lineRule="auto"/>
        <w:rPr>
          <w:rFonts w:ascii="仿宋" w:hAnsi="仿宋" w:eastAsia="仿宋"/>
          <w:color w:val="auto"/>
          <w:sz w:val="24"/>
          <w:szCs w:val="24"/>
          <w:highlight w:val="none"/>
        </w:rPr>
      </w:pPr>
      <w:bookmarkStart w:id="86" w:name="_Toc16938554"/>
      <w:bookmarkStart w:id="87" w:name="_Toc20823310"/>
      <w:r>
        <w:rPr>
          <w:rFonts w:ascii="仿宋" w:hAnsi="仿宋" w:eastAsia="仿宋"/>
          <w:color w:val="auto"/>
          <w:sz w:val="24"/>
          <w:szCs w:val="24"/>
          <w:highlight w:val="none"/>
        </w:rPr>
        <w:t>1.确定</w:t>
      </w:r>
      <w:bookmarkEnd w:id="86"/>
      <w:bookmarkEnd w:id="87"/>
      <w:r>
        <w:rPr>
          <w:rFonts w:ascii="仿宋" w:hAnsi="仿宋" w:eastAsia="仿宋"/>
          <w:color w:val="auto"/>
          <w:sz w:val="24"/>
          <w:szCs w:val="24"/>
          <w:highlight w:val="none"/>
        </w:rPr>
        <w:t>成交单位</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1.1 成交候选供应商的选取原则和数量见采购文件第四部分规定。</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采购人授权评标小组在成交候选供应商中直接确定成交供应商。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将在</w:t>
      </w:r>
      <w:r>
        <w:rPr>
          <w:rFonts w:hint="eastAsia" w:ascii="仿宋" w:hAnsi="仿宋" w:eastAsia="仿宋" w:cs="仿宋"/>
          <w:color w:val="auto"/>
          <w:sz w:val="24"/>
          <w:szCs w:val="24"/>
          <w:highlight w:val="none"/>
        </w:rPr>
        <w:t>指定媒体上</w:t>
      </w:r>
      <w:r>
        <w:rPr>
          <w:rFonts w:ascii="仿宋" w:hAnsi="仿宋" w:eastAsia="仿宋" w:cs="仿宋"/>
          <w:color w:val="auto"/>
          <w:sz w:val="24"/>
          <w:szCs w:val="24"/>
          <w:highlight w:val="none"/>
        </w:rPr>
        <w:t>发布成交结果公告，公告期限为1个工作日。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4</w:t>
      </w:r>
      <w:r>
        <w:rPr>
          <w:rFonts w:ascii="仿宋" w:hAnsi="仿宋" w:eastAsia="仿宋" w:cs="仿宋"/>
          <w:color w:val="auto"/>
          <w:sz w:val="24"/>
          <w:szCs w:val="24"/>
          <w:highlight w:val="none"/>
        </w:rPr>
        <w:t xml:space="preserve"> 若有充分证据证明，成交供应商出现下列情况之一的，一经查实，将被取消成交资格：</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1.4.1 提供虚假材料谋取成交的。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1.4.2 向采购人、</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行贿或者评审专家提供其他不正当利益的。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1.4.3 恶意竞争，最终总报价明显低于其自身合理成本且又无法提供证明的。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1.4.4 属于本文件规定的无效条件，但在评审过程中又未被评标小组发现的。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1.4.5 与采购人或者其他供应商恶意串通的。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1.4.6 采取不正当手段诋毁、排挤其他供应商的。</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bookmarkStart w:id="88" w:name="_Toc200451960"/>
      <w:r>
        <w:rPr>
          <w:rFonts w:ascii="仿宋" w:hAnsi="仿宋" w:eastAsia="仿宋" w:cs="仿宋"/>
          <w:color w:val="auto"/>
          <w:sz w:val="24"/>
          <w:szCs w:val="24"/>
          <w:highlight w:val="none"/>
        </w:rPr>
        <w:t>1.5 有下列情形之一的，视为供应商串通参与</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，响应无效：</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1.5.1 不同供应商的响应文件由同一单位或者个人编制；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1.5.2 不同供应商委托同一单位或者个人办理</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事宜；</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1.5.3 不同供应商的响应文件载明的项目管理成员或者联系人员为同一人；</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1.5.4 不同供应商的响应文件异常一致或者响应报价呈规律性差异。</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2.质疑处理</w:t>
      </w:r>
      <w:bookmarkEnd w:id="88"/>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提出质疑的供应商应当是参与所质疑项目采购活动的供应商。潜在供应商依法获取其可质疑的采购文件的，可以对采购文件提出质疑。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供应商认为采购文件、采购过程和采购结果使自己的权益受到损害的，可以在知道或应知其权益受到损害之日起七个工作日内，以书面形式向</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或采购人提出质疑。上述应知其权益受到损害之日，是指：</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2.2.1 对可以质疑的采购文件提出质疑的，为收到采购文件之日或者采购文件公告期限届满之日；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2.2.2 对采购过程提出质疑的，为各采购程序环节结束之日；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2.2.3 对成交结果提出质疑的，为成交结果公告期限届满之日。</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供应商应当在法定质疑期内一次性提出针对同一采购程序环节的质疑。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2.3 质疑函必须按照本采购文件中《质疑函范本》要求的格式和内容进行填写。供应商如组成联合体参加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，则《质疑函范本》中要求签字、盖章、加盖公章之处，联合体各方均须按要求签字、盖章、加盖公章。</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2.4 对采购方式、采购文件中项目需求、供应商资格条件、评审方法和评审标准、资格审查结果等应当由采购人答复的质疑，请向采购人提出，由采购人负责答复。供应商对其他事项的质疑，请向</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提出，由</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负责答复。</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采购人质疑接收人及联系方式，见采购文件第一部分。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 以下情形的质疑不予受理</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2.5.1 内容不符合《政府采购质疑和投诉办法》第十二条规定的质疑。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2.5.2 超出政府采购法定期限的质疑。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2.5.3 未参加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活动的供应商或在</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活动中自身权益未受到损害的供应商所提出的质疑。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2.5.4 供应商组成联合体参加</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，联合体中任何一方或多方未按要求签字、盖章、加盖公章的质疑。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2.6 供应商提出书面质疑必须有理、有据，不得捏造事实、提供虚假材料进行恶意质疑。否则，一经查实，</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有权依据政府采购的有关规定，报请政府采购监管部门对该供应商进行相应的行政处罚和记录该供应商的失信信息。</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3．成交通知书</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3.l 成交结果确定后，</w:t>
      </w:r>
      <w:r>
        <w:rPr>
          <w:rFonts w:hint="eastAsia" w:ascii="仿宋" w:hAnsi="仿宋" w:eastAsia="仿宋" w:cs="仿宋"/>
          <w:color w:val="auto"/>
          <w:sz w:val="24"/>
          <w:szCs w:val="24"/>
          <w:highlight w:val="none"/>
          <w:lang w:eastAsia="zh-CN"/>
        </w:rPr>
        <w:t>采购人</w:t>
      </w:r>
      <w:r>
        <w:rPr>
          <w:rFonts w:ascii="仿宋" w:hAnsi="仿宋" w:eastAsia="仿宋" w:cs="仿宋"/>
          <w:color w:val="auto"/>
          <w:sz w:val="24"/>
          <w:szCs w:val="24"/>
          <w:highlight w:val="none"/>
        </w:rPr>
        <w:t>将向成交供应商发出成交通知书。</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3.2 成交通知书将是合同的一个组成部分。对采购人和成交供应商均具有法律效力。成交通知书发出后，采购人改变成交结果的，或者成交供应商放弃</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项目的，应当依法承担法律责任。</w:t>
      </w:r>
    </w:p>
    <w:p>
      <w:pPr>
        <w:pStyle w:val="3"/>
        <w:spacing w:before="0" w:after="0" w:line="360" w:lineRule="auto"/>
        <w:rPr>
          <w:rFonts w:ascii="仿宋" w:hAnsi="仿宋" w:eastAsia="仿宋"/>
          <w:color w:val="auto"/>
          <w:sz w:val="24"/>
          <w:szCs w:val="24"/>
          <w:highlight w:val="none"/>
        </w:rPr>
      </w:pPr>
      <w:bookmarkStart w:id="89" w:name="_Toc120614220"/>
      <w:bookmarkStart w:id="90" w:name="_Toc513029236"/>
      <w:bookmarkStart w:id="91" w:name="_Toc20823308"/>
      <w:bookmarkStart w:id="92" w:name="_Toc16938552"/>
      <w:r>
        <w:rPr>
          <w:rFonts w:ascii="仿宋" w:hAnsi="仿宋" w:eastAsia="仿宋"/>
          <w:color w:val="auto"/>
          <w:sz w:val="24"/>
          <w:szCs w:val="24"/>
          <w:highlight w:val="none"/>
        </w:rPr>
        <w:t>（七）授予合同</w:t>
      </w:r>
      <w:bookmarkEnd w:id="89"/>
    </w:p>
    <w:bookmarkEnd w:id="90"/>
    <w:bookmarkEnd w:id="91"/>
    <w:bookmarkEnd w:id="92"/>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1.签订合同</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1.l 成交供应商应当在成交通知书发出之日起三十日内，按照采购文件确定的事项与采购人签订政府采购合同。</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1.2 采购文件、成交供应商的响应文件及</w:t>
      </w:r>
      <w:r>
        <w:rPr>
          <w:rFonts w:hint="eastAsia" w:ascii="仿宋" w:hAnsi="仿宋" w:eastAsia="仿宋" w:cs="仿宋"/>
          <w:color w:val="auto"/>
          <w:sz w:val="24"/>
          <w:szCs w:val="24"/>
          <w:highlight w:val="none"/>
        </w:rPr>
        <w:t>询价</w:t>
      </w:r>
      <w:r>
        <w:rPr>
          <w:rFonts w:ascii="仿宋" w:hAnsi="仿宋" w:eastAsia="仿宋" w:cs="仿宋"/>
          <w:color w:val="auto"/>
          <w:sz w:val="24"/>
          <w:szCs w:val="24"/>
          <w:highlight w:val="none"/>
        </w:rPr>
        <w:t>过程中有关澄清、承诺文件均应作为合同附件。</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1.3 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rPr>
        <w:t>履约保证金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1.4.1履约保证金为项目成交金额的10%，成交供应商在签订合同之前缴纳履约保证金，签订合同时须提供履约保证金缴纳凭证，可以以支票、汇票、本票、保函等非现金形式缴纳或提交。根据优化营商环境相关文件精神，对政府采购信用档案中无不良记录的中小企业可以申请免收履约保证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1.4.2成交供应商全部履约合同义务，经采购人验收合格无质量、进度等问题的，采购人在验收合格后一次性退还履约保证金。</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1.4.3发生以下情况的，履约保证金不予退还或部分退还：</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（1）签订合同后，成交供应商不履行合同义务的，采购人有权全额扣除履约保证金，全额不予退还，同时采购人亦有权终止合同，成交供应商还须承担相应的法律赔偿责任。</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（2）成交供应商在履约过程中发生违约行为，给采购人造成损失的，采购人有权在成交供应商缴纳的履约保证金中予以扣款，以弥补采购人经济损失，不足的部分成交供应商另外补齐。</w:t>
      </w:r>
    </w:p>
    <w:p>
      <w:pPr>
        <w:pStyle w:val="4"/>
        <w:spacing w:before="0" w:after="0" w:line="360" w:lineRule="auto"/>
        <w:rPr>
          <w:rFonts w:ascii="仿宋" w:hAnsi="仿宋" w:eastAsia="仿宋"/>
          <w:color w:val="auto"/>
          <w:sz w:val="24"/>
          <w:szCs w:val="24"/>
          <w:highlight w:val="none"/>
        </w:rPr>
      </w:pPr>
      <w:r>
        <w:rPr>
          <w:rFonts w:ascii="仿宋" w:hAnsi="仿宋" w:eastAsia="仿宋"/>
          <w:color w:val="auto"/>
          <w:sz w:val="24"/>
          <w:szCs w:val="24"/>
          <w:highlight w:val="none"/>
        </w:rPr>
        <w:t>2.货物和服务的追加、减少和添购。</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2.1 政府采购合同履行中，采购人需追加与合同标的相同的货物和服务的，在不改变合同其他条款的前提下，可以与成交供应商协商签订补充合同，但所有补充合同的采购金额不超过原合同金额10%。</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2.2 采购结束后，采购人若由于各种客观原因，必须对采购项目所牵涉的货物和服务进行适当的减少时，在双方协商一致的前提下，可以按照采购时的价格水平做相应的调减，并据此签订补充合同。</w:t>
      </w:r>
    </w:p>
    <w:p>
      <w:pPr>
        <w:pStyle w:val="4"/>
        <w:spacing w:before="0" w:after="0"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3.政府采购履约保证资金、合同信用融资扶持政策</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3.1中标供应商如需获得履约保证金支持，可在南通市政府采购网直接线上办理线上履约保证保险申请，详情请见南通市政府采购网首页“易企服”综合服务平台-金融产品全周期-履约保证保险专栏。</w:t>
      </w:r>
    </w:p>
    <w:p>
      <w:pPr>
        <w:widowControl/>
        <w:shd w:val="clear" w:color="auto" w:fill="FFFFFF"/>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根据《关于转发江苏省财政厅、中国人民银行南京分行&lt;关于深入推进政府采购线上合同信用融资工作的通知&gt;的通知》（通财购〔2021〕41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供应商如需获得合同信用融资支持，可凭政府采购合同办理“政采贷”融资贷款，详情请见南通市政府采购网“易企服”综合服务平台-金融产品全周期-贷款产品专栏。</w:t>
      </w:r>
    </w:p>
    <w:p>
      <w:pPr>
        <w:widowControl/>
        <w:jc w:val="left"/>
        <w:rPr>
          <w:rFonts w:ascii="仿宋" w:hAnsi="仿宋" w:eastAsia="仿宋"/>
          <w:color w:val="auto"/>
          <w:sz w:val="28"/>
          <w:szCs w:val="28"/>
          <w:highlight w:val="none"/>
        </w:rPr>
      </w:pPr>
      <w:r>
        <w:rPr>
          <w:rFonts w:ascii="仿宋" w:hAnsi="仿宋" w:eastAsia="仿宋"/>
          <w:color w:val="auto"/>
          <w:sz w:val="28"/>
          <w:szCs w:val="28"/>
          <w:highlight w:val="none"/>
        </w:rPr>
        <w:br w:type="page"/>
      </w:r>
    </w:p>
    <w:p>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第三部分 项目需求</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不能简单照搬照抄采购文件项目需求说明中的技术、商务要求，必须作实事求是的响应。如供应商提供的货物和服务同采购人提出的项目需求说明中的技术、商务要求不同的，必须在《商务部分正负偏离表》和《技术部分正负偏离表》上明示。</w:t>
      </w: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一、有关要求说明</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1.主要技术参数：为鼓励不同品牌的充分竞争，如某主要技术参数属于个别品牌专有，则该主要技术参数不具有限制性，供应商可对该参数进行适当调整，并说明调整的理由。</w:t>
      </w:r>
    </w:p>
    <w:p>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pPr>
        <w:widowControl/>
        <w:spacing w:line="360" w:lineRule="auto"/>
        <w:ind w:firstLine="482" w:firstLineChars="200"/>
        <w:jc w:val="left"/>
        <w:rPr>
          <w:rFonts w:hint="eastAsia"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二、项目清单</w:t>
      </w:r>
    </w:p>
    <w:tbl>
      <w:tblPr>
        <w:tblStyle w:val="15"/>
        <w:tblW w:w="9375"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3"/>
        <w:gridCol w:w="2275"/>
        <w:gridCol w:w="1841"/>
        <w:gridCol w:w="725"/>
        <w:gridCol w:w="692"/>
        <w:gridCol w:w="3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库存名称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规格</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甲醇中涕灭威溶液标准物质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甲醇中涕灭威砜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涕灭威亚砜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甲醇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灭多威溶液标准物质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甲醇中呋喃丹(克百威)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甲醇中3-羟基克百威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甲醇中西维因(甲萘威)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丙酮中敌敌畏溶液标准样品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丙酮中甲拌磷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乐果溶液标准物质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1000ug/mL于丙酮，1mL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对硫磷（溶剂：丙酮)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甲基对硫磷（溶剂：丙酮)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丙酮中伏杀硫磷溶液标准物质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氧化乐果溶液标准物质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敌百虫溶液标准物质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甲醇中磷胺溶液标准样品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丙酮中马拉硫磷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正己烷中辛硫磷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丙酮中亚胺硫磷溶液标准样品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丙酮中甲胺磷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乙酰甲胺磷溶液标准物质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二嗪磷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1000mg/L，1ml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丙酮中毒死蜱溶液标准样品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倍硫磷溶液标准物质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杀螟松（溶剂：丙酮)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丙酮中久效磷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丙酮中水胺硫磷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硫环磷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丙酮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丙酮中三唑磷溶液标准样品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丙酮中内吸磷溶液标准样品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正己烷中α－六六六</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正己烷中β－六六六</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正己烷中γ－六六六(林丹)</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正己烷中δ－六六六</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正己烷中异菌脲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正己烷中五氯硝基苯</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丙酮中乙烯菌核利</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1000mg/l，1ml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三氯杀螨醇溶液标准样品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1000ug/mL正己烷，1mL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百菌清溶液标准物质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正己烷中粉锈宁（三唑酮）溶液标准样品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联苯菊酯溶液标准物质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氯氟氰菊酯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正己烷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甲氰菊酯溶液标准物质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氯菊酯溶液标准物质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1000ug/mL于正己烷，1mL/瓶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氰戊菊酯溶液标准物质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正己烷中氯氰菊酯</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溴氰菊酯溶液标准物质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正己烷中氟氯氰菊酯</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氟胺氰菊酯</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1000mg/L，1ml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正己烷中氟氰戊菊酯溶液标准样品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 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正己烷中甲霜灵溶液标准样品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丙酮中腐霉利(速克灵)溶液标准物质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丙酮中噻嗪酮溶液，1Ml，1000ppm</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1Ml，1000ppm</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丙酮中除虫脲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甲醇中甲基硫菌灵（甲基托布津）</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三环唑(介质：丙酮)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丙酮中丁草胺溶液标准样品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甲醇中丙溴磷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甲醇中氯唑磷溶液标准样品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丙酮中甲基异柳磷</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1000ppm，1ml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甲醇中多效唑溶液标准样品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戊唑醇标准溶液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咪鲜胺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甲醇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锐劲特（氟虫腈）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丙酮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丙酮中灭幼脲溶液标准物质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1000ppm，1mL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啶虫脒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甲醇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丙酮中哒螨灵</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丙酮中苯醚甲环唑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嘧霉胺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正己烷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乙醇中吡虫啉</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阿维菌素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甲醇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甲醇中多菌灵标准物质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500ppm 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甲醇中甲氨基阿维菌素苯甲酸盐溶液标准物质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嘧菌酯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1000ug/ml≥1ml乙腈</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虫螨腈（溴虫腈）标准溶液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甲醇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氟啶脲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丙酮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噻虫嗪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丙酮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烯酰吗啉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丙酮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二甲戊乐灵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丙酮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甲拌磷砜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丙酮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甲拌磷亚砜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丙酮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氟虫腈砜溶液标准样品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丙酮中氟虫腈硫醚溶液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1000mg/L，1mL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氟甲腈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丙酮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氯吡脲标准溶液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甲醇中虫酰肼溶液标准样品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醚菊酯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正己烷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氯虫苯甲酰胺标准溶液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吡唑醚菌酯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正己烷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霜霉威标准溶液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1000ug/mL，1mL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乙醇中灭蝇胺溶液标准样品</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1000ppm，1ml</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腈菌唑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甲醇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噻虫胺 标准溶液</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1000μg/mL ≥1ml 甲醇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农业部环境保护科研监测所 (天津)、中国计量科学研究院、Dr.E</w:t>
            </w:r>
          </w:p>
        </w:tc>
      </w:tr>
    </w:tbl>
    <w:p>
      <w:pPr>
        <w:widowControl/>
        <w:spacing w:line="360" w:lineRule="auto"/>
        <w:ind w:firstLine="482" w:firstLineChars="200"/>
        <w:jc w:val="left"/>
        <w:rPr>
          <w:rFonts w:hint="eastAsia" w:ascii="仿宋" w:hAnsi="仿宋" w:eastAsia="仿宋" w:cs="宋体"/>
          <w:b/>
          <w:bCs/>
          <w:color w:val="auto"/>
          <w:sz w:val="24"/>
          <w:szCs w:val="24"/>
          <w:highlight w:val="none"/>
        </w:rPr>
      </w:pPr>
    </w:p>
    <w:p>
      <w:pPr>
        <w:widowControl/>
        <w:spacing w:line="360" w:lineRule="auto"/>
        <w:ind w:firstLine="482" w:firstLineChars="200"/>
        <w:jc w:val="left"/>
        <w:rPr>
          <w:rFonts w:hint="eastAsia" w:ascii="仿宋" w:hAnsi="仿宋" w:eastAsia="仿宋" w:cs="宋体"/>
          <w:b/>
          <w:bCs/>
          <w:color w:val="auto"/>
          <w:sz w:val="24"/>
          <w:szCs w:val="24"/>
          <w:highlight w:val="none"/>
        </w:rPr>
      </w:pPr>
    </w:p>
    <w:p>
      <w:pPr>
        <w:widowControl/>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三、商务要求</w:t>
      </w:r>
    </w:p>
    <w:p>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参数偏离表承诺函：供应商需出具参数偏离表的盖章承诺函，承诺其提交的相关材料真实有效，每项参数都可作为验收的依据，参数验收时如果不能符合标书要求，应按投标价的30%作为对采购人的赔偿，货物退回，合同作废，并承担虚假应标的相关责任；承诺其投标产品为原厂全新产品，非代工产品或翻新产品，负责保修，保证货物的使用。</w:t>
      </w:r>
    </w:p>
    <w:p>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.交货期要求：</w:t>
      </w:r>
      <w:r>
        <w:rPr>
          <w:rFonts w:hint="eastAsia" w:ascii="仿宋" w:hAnsi="仿宋" w:eastAsia="仿宋" w:cs="仿宋"/>
          <w:bCs/>
          <w:color w:val="auto"/>
          <w:sz w:val="24"/>
          <w:szCs w:val="24"/>
          <w:highlight w:val="none"/>
        </w:rPr>
        <w:t>合同签订后</w:t>
      </w:r>
      <w:r>
        <w:rPr>
          <w:rFonts w:hint="eastAsia" w:ascii="仿宋" w:hAnsi="仿宋" w:eastAsia="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日内供货完毕</w:t>
      </w:r>
      <w:r>
        <w:rPr>
          <w:rFonts w:hint="eastAsia" w:ascii="仿宋" w:hAnsi="仿宋" w:eastAsia="仿宋" w:cs="宋体"/>
          <w:color w:val="auto"/>
          <w:sz w:val="24"/>
          <w:szCs w:val="24"/>
          <w:highlight w:val="none"/>
        </w:rPr>
        <w:t>。</w:t>
      </w:r>
    </w:p>
    <w:p>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.交货地点及验收：采购人指定地点，</w:t>
      </w:r>
      <w:bookmarkStart w:id="93" w:name="_Hlk149730648"/>
      <w:r>
        <w:rPr>
          <w:rFonts w:hint="eastAsia" w:ascii="仿宋" w:hAnsi="仿宋" w:eastAsia="仿宋" w:cs="宋体"/>
          <w:color w:val="auto"/>
          <w:sz w:val="24"/>
          <w:szCs w:val="24"/>
          <w:highlight w:val="none"/>
        </w:rPr>
        <w:t>由供应商负责办理运输和装卸等，费用由供应商负责，由采购人组织验收，检验不合格或不符合质量要求，供应商除无条件退货、返工外，还应承担采购人的一切损失。</w:t>
      </w:r>
      <w:bookmarkEnd w:id="93"/>
    </w:p>
    <w:p>
      <w:pPr>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w:t>
      </w:r>
      <w:r>
        <w:rPr>
          <w:rFonts w:hint="eastAsia" w:ascii="仿宋" w:hAnsi="仿宋" w:eastAsia="仿宋" w:cs="仿宋"/>
          <w:bCs/>
          <w:color w:val="auto"/>
          <w:sz w:val="24"/>
          <w:szCs w:val="24"/>
          <w:highlight w:val="none"/>
        </w:rPr>
        <w:t>货物质量</w:t>
      </w:r>
      <w:r>
        <w:rPr>
          <w:rFonts w:hint="eastAsia" w:ascii="仿宋" w:hAnsi="仿宋" w:eastAsia="仿宋" w:cs="宋体"/>
          <w:color w:val="auto"/>
          <w:sz w:val="24"/>
          <w:szCs w:val="24"/>
          <w:highlight w:val="none"/>
        </w:rPr>
        <w:t>：货物质量合格，符合相关标准规定。</w:t>
      </w:r>
      <w:bookmarkStart w:id="94" w:name="_Hlk149730471"/>
      <w:r>
        <w:rPr>
          <w:rFonts w:hint="eastAsia" w:ascii="仿宋" w:hAnsi="仿宋" w:eastAsia="仿宋" w:cs="宋体"/>
          <w:color w:val="auto"/>
          <w:sz w:val="24"/>
          <w:szCs w:val="24"/>
          <w:highlight w:val="none"/>
        </w:rPr>
        <w:t>如出现质量问题，供应商应在2小时内响应，24小时内到达现场，48小时内解决出现问题，其中产生的一切费用由供应商承担，若超时未响应，则视为供应商承认质量问题并承担由此产生的一切费用。采购人不定期组织货物实验验证，如出现货物不能满足采购人实验需求的，供应商在接到反馈信息后应在承诺供货期规定的时间内无条件退换货，直至货物满足采购人实验需求为止。供应商应在货物有效期内经验证证实货物有质量缺陷时，有义务尽快通知采购人，及时更换货物并实施补偿措施，其中产生的一切费用和损失由供应商承担。</w:t>
      </w:r>
    </w:p>
    <w:bookmarkEnd w:id="94"/>
    <w:p>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.质保期：自项目验收合格之日起</w:t>
      </w:r>
      <w:r>
        <w:rPr>
          <w:rFonts w:hint="eastAsia" w:ascii="仿宋" w:hAnsi="仿宋" w:eastAsia="仿宋" w:cs="宋体"/>
          <w:color w:val="auto"/>
          <w:sz w:val="24"/>
          <w:szCs w:val="24"/>
          <w:highlight w:val="none"/>
          <w:lang w:val="en-US" w:eastAsia="zh-CN"/>
        </w:rPr>
        <w:t>一</w:t>
      </w:r>
      <w:r>
        <w:rPr>
          <w:rFonts w:hint="eastAsia" w:ascii="仿宋" w:hAnsi="仿宋" w:eastAsia="仿宋" w:cs="宋体"/>
          <w:color w:val="auto"/>
          <w:sz w:val="24"/>
          <w:szCs w:val="24"/>
          <w:highlight w:val="none"/>
        </w:rPr>
        <w:t>年。</w:t>
      </w:r>
    </w:p>
    <w:p>
      <w:pPr>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.付款方式：</w:t>
      </w:r>
      <w:r>
        <w:rPr>
          <w:rFonts w:hint="eastAsia" w:ascii="仿宋" w:hAnsi="仿宋" w:eastAsia="仿宋" w:cs="宋体"/>
          <w:color w:val="auto"/>
          <w:sz w:val="24"/>
          <w:szCs w:val="24"/>
          <w:highlight w:val="none"/>
          <w:lang w:eastAsia="zh-CN"/>
        </w:rPr>
        <w:t>验收合格后一次性付款。</w:t>
      </w:r>
    </w:p>
    <w:p>
      <w:pPr>
        <w:widowControl/>
        <w:spacing w:line="360" w:lineRule="auto"/>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四、其他要求</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.供应商须采取必要的安全措施保证货物的运输安全，并承担货物的运输过程中产生的风险。</w:t>
      </w:r>
      <w:r>
        <w:rPr>
          <w:rFonts w:hint="eastAsia" w:ascii="仿宋" w:hAnsi="仿宋" w:eastAsia="仿宋" w:cs="仿宋"/>
          <w:color w:val="auto"/>
          <w:sz w:val="24"/>
          <w:szCs w:val="24"/>
          <w:highlight w:val="none"/>
        </w:rPr>
        <w:t>货物外观、包装、运输应符合有关规定的标准，如因供应商包装、运输不当等原因造成的损失，由供应商承担。</w:t>
      </w:r>
    </w:p>
    <w:p>
      <w:pPr>
        <w:widowControl/>
        <w:spacing w:line="360" w:lineRule="auto"/>
        <w:ind w:firstLine="480" w:firstLineChars="200"/>
        <w:jc w:val="left"/>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响应报价应包括投标文件所确定的该项目的全部内容，包括响应及完成委托工作所需的一切费用，包含但不限于如货物采购、人工、包装、运输、装卸、税费、售后服务及相关劳务支出等工作所发生的全部费用以及供应商企业利润、税金和政策性文件规定及合同包含的所有风险、责任，即响应本采购文件规定的各项应有费用。</w:t>
      </w:r>
    </w:p>
    <w:p>
      <w:pPr>
        <w:widowControl/>
        <w:spacing w:line="360" w:lineRule="auto"/>
        <w:ind w:firstLine="420" w:firstLineChars="200"/>
        <w:jc w:val="left"/>
        <w:rPr>
          <w:rFonts w:ascii="仿宋" w:hAnsi="仿宋" w:eastAsia="仿宋" w:cs="宋体"/>
          <w:color w:val="auto"/>
          <w:sz w:val="28"/>
          <w:szCs w:val="28"/>
          <w:highlight w:val="none"/>
        </w:rPr>
      </w:pPr>
      <w:r>
        <w:rPr>
          <w:rFonts w:ascii="仿宋" w:hAnsi="仿宋" w:eastAsia="仿宋"/>
          <w:color w:val="auto"/>
          <w:highlight w:val="none"/>
        </w:rPr>
        <w:br w:type="page"/>
      </w:r>
    </w:p>
    <w:p>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第四部分 评审方法和评审标准</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一、</w:t>
      </w:r>
      <w:r>
        <w:rPr>
          <w:rFonts w:hint="eastAsia" w:ascii="仿宋" w:hAnsi="仿宋" w:eastAsia="仿宋" w:cs="仿宋"/>
          <w:b/>
          <w:color w:val="auto"/>
          <w:sz w:val="24"/>
          <w:szCs w:val="24"/>
          <w:highlight w:val="none"/>
        </w:rPr>
        <w:t>开标</w:t>
      </w:r>
      <w:r>
        <w:rPr>
          <w:rFonts w:ascii="仿宋" w:hAnsi="仿宋" w:eastAsia="仿宋" w:cs="仿宋"/>
          <w:b/>
          <w:color w:val="auto"/>
          <w:sz w:val="24"/>
          <w:szCs w:val="24"/>
          <w:highlight w:val="none"/>
        </w:rPr>
        <w:t>方式</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现场提交响应文件。</w:t>
      </w:r>
    </w:p>
    <w:p>
      <w:pPr>
        <w:widowControl/>
        <w:shd w:val="clear" w:color="auto" w:fill="FFFFFF"/>
        <w:spacing w:line="360" w:lineRule="auto"/>
        <w:ind w:firstLine="482" w:firstLineChars="200"/>
        <w:jc w:val="left"/>
        <w:rPr>
          <w:rFonts w:ascii="仿宋" w:hAnsi="仿宋" w:eastAsia="仿宋" w:cs="仿宋"/>
          <w:b/>
          <w:color w:val="auto"/>
          <w:sz w:val="24"/>
          <w:szCs w:val="24"/>
          <w:highlight w:val="none"/>
        </w:rPr>
      </w:pPr>
      <w:r>
        <w:rPr>
          <w:rFonts w:ascii="仿宋" w:hAnsi="仿宋" w:eastAsia="仿宋" w:cs="仿宋"/>
          <w:b/>
          <w:color w:val="auto"/>
          <w:sz w:val="24"/>
          <w:szCs w:val="24"/>
          <w:highlight w:val="none"/>
        </w:rPr>
        <w:t>二、</w:t>
      </w:r>
      <w:r>
        <w:rPr>
          <w:rFonts w:hint="eastAsia" w:ascii="仿宋" w:hAnsi="仿宋" w:eastAsia="仿宋" w:cs="仿宋"/>
          <w:b/>
          <w:color w:val="auto"/>
          <w:sz w:val="24"/>
          <w:szCs w:val="24"/>
          <w:highlight w:val="none"/>
        </w:rPr>
        <w:t>询价</w:t>
      </w:r>
      <w:r>
        <w:rPr>
          <w:rFonts w:ascii="仿宋" w:hAnsi="仿宋" w:eastAsia="仿宋" w:cs="仿宋"/>
          <w:b/>
          <w:color w:val="auto"/>
          <w:sz w:val="24"/>
          <w:szCs w:val="24"/>
          <w:highlight w:val="none"/>
        </w:rPr>
        <w:t>评审方法和标准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（一）询价评审方法</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rPr>
        <w:t>.本项目采用最低价中标法。</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rPr>
        <w:t>.对合格询价响应供应商所提供的询价响应文件内的询价技术响文件进行评选。</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rPr>
        <w:t>.评标小组严格按照询价文件的规定要求、条件标准，对询价响应供应商所提供的完整计划标的物采购的服务是否符合采购需求，对其质量和服务等实质性响应内容进行比较评价。具体如下表：</w:t>
      </w:r>
    </w:p>
    <w:tbl>
      <w:tblPr>
        <w:tblStyle w:val="1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序号</w:t>
            </w:r>
          </w:p>
        </w:tc>
        <w:tc>
          <w:tcPr>
            <w:tcW w:w="80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Times New Roman"/>
                <w:b/>
                <w:bCs/>
                <w:color w:val="auto"/>
                <w:kern w:val="0"/>
                <w:sz w:val="24"/>
                <w:szCs w:val="24"/>
                <w:highlight w:val="none"/>
              </w:rPr>
            </w:pPr>
            <w:r>
              <w:rPr>
                <w:rFonts w:hint="eastAsia" w:ascii="仿宋" w:hAnsi="仿宋" w:eastAsia="仿宋" w:cs="Times New Roman"/>
                <w:b/>
                <w:bCs/>
                <w:color w:val="auto"/>
                <w:kern w:val="0"/>
                <w:sz w:val="24"/>
                <w:szCs w:val="24"/>
                <w:highlight w:val="none"/>
              </w:rPr>
              <w:t>询价响应满足性评审比较内容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1</w:t>
            </w:r>
          </w:p>
        </w:tc>
        <w:tc>
          <w:tcPr>
            <w:tcW w:w="80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供应商提供响应项目的需求产品的数量是否满足询价文件要求；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2</w:t>
            </w:r>
          </w:p>
        </w:tc>
        <w:tc>
          <w:tcPr>
            <w:tcW w:w="80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供应商提供的项目产品技术参数要求是否满足询价文件要求；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3</w:t>
            </w:r>
          </w:p>
        </w:tc>
        <w:tc>
          <w:tcPr>
            <w:tcW w:w="80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询价响应供应商提供的产品的相关证明材料是否满足询价文件要求；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360" w:lineRule="auto"/>
              <w:jc w:val="center"/>
              <w:textAlignment w:val="baseline"/>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4</w:t>
            </w:r>
          </w:p>
        </w:tc>
        <w:tc>
          <w:tcPr>
            <w:tcW w:w="80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textAlignment w:val="baseline"/>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商务技术要求的响应是否满足询价文件要求。</w:t>
            </w:r>
          </w:p>
        </w:tc>
      </w:tr>
    </w:tbl>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rPr>
        <w:t>.判定符合采购需求、质量和服务相等的询价响应供应商后，针对其报价进行最终判定。</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rPr>
        <w:t>.本次项目最高限价人民币</w:t>
      </w:r>
      <w:r>
        <w:rPr>
          <w:rFonts w:hint="eastAsia" w:ascii="仿宋" w:hAnsi="仿宋" w:eastAsia="仿宋" w:cs="仿宋"/>
          <w:bCs/>
          <w:color w:val="auto"/>
          <w:sz w:val="24"/>
          <w:szCs w:val="24"/>
          <w:highlight w:val="none"/>
          <w:lang w:val="en-US" w:eastAsia="zh-CN"/>
        </w:rPr>
        <w:t>6万元</w:t>
      </w:r>
      <w:r>
        <w:rPr>
          <w:rFonts w:hint="eastAsia" w:ascii="仿宋" w:hAnsi="仿宋" w:eastAsia="仿宋" w:cs="仿宋"/>
          <w:bCs/>
          <w:color w:val="auto"/>
          <w:sz w:val="24"/>
          <w:szCs w:val="24"/>
          <w:highlight w:val="none"/>
        </w:rPr>
        <w:t>，超出限价作无效询价响应处理。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.按照质量和服务均能满足询价采购文件实质性响应要求且报价最低的原则，确定成交供应商。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二</w:t>
      </w:r>
      <w:r>
        <w:rPr>
          <w:rFonts w:ascii="仿宋" w:hAnsi="仿宋" w:eastAsia="仿宋" w:cs="仿宋"/>
          <w:bCs/>
          <w:color w:val="auto"/>
          <w:sz w:val="24"/>
          <w:szCs w:val="24"/>
          <w:highlight w:val="none"/>
        </w:rPr>
        <w:t>）成交供应商的确定</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小组根据全体成员签字的原始评审记录和结果编写评审报告。评标小组按报价由低到高的顺序排列，排名前三名的依次为第一、第二、第三成交候选人。询价响应报价相同的，现场抽签决定成交候选人排名顺序</w:t>
      </w:r>
      <w:r>
        <w:rPr>
          <w:rFonts w:ascii="仿宋" w:hAnsi="仿宋" w:eastAsia="仿宋" w:cs="仿宋"/>
          <w:bCs/>
          <w:color w:val="auto"/>
          <w:sz w:val="24"/>
          <w:szCs w:val="24"/>
          <w:highlight w:val="none"/>
        </w:rPr>
        <w:t>。</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第一成交候选人原则上为成交供应商，成交价为其响应报价。当排名第一的成交候选人放弃成交、因不可抗力不能履行合同、不按照询价文件要求提交履约保证金，或者被查实存在影响成交结果的违法行为等情形，不符合成交条件的，采购人可以按照评标小组提出的成交候选人名单排序依次确定其他成交候选人为成交供应商，也可以重新询价。</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采购人委托</w:t>
      </w:r>
      <w:r>
        <w:rPr>
          <w:rFonts w:hint="eastAsia" w:ascii="仿宋" w:hAnsi="仿宋" w:eastAsia="仿宋" w:cs="仿宋"/>
          <w:bCs/>
          <w:color w:val="auto"/>
          <w:sz w:val="24"/>
          <w:szCs w:val="24"/>
          <w:highlight w:val="none"/>
        </w:rPr>
        <w:t>评标</w:t>
      </w:r>
      <w:r>
        <w:rPr>
          <w:rFonts w:ascii="仿宋" w:hAnsi="仿宋" w:eastAsia="仿宋" w:cs="仿宋"/>
          <w:bCs/>
          <w:color w:val="auto"/>
          <w:sz w:val="24"/>
          <w:szCs w:val="24"/>
          <w:highlight w:val="none"/>
        </w:rPr>
        <w:t>小组直接确定成交供应商。</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三</w:t>
      </w:r>
      <w:r>
        <w:rPr>
          <w:rFonts w:ascii="仿宋" w:hAnsi="仿宋" w:eastAsia="仿宋" w:cs="仿宋"/>
          <w:bCs/>
          <w:color w:val="auto"/>
          <w:sz w:val="24"/>
          <w:szCs w:val="24"/>
          <w:highlight w:val="none"/>
        </w:rPr>
        <w:t>）采购人代表宣布评审结果。</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四</w:t>
      </w:r>
      <w:r>
        <w:rPr>
          <w:rFonts w:ascii="仿宋" w:hAnsi="仿宋" w:eastAsia="仿宋" w:cs="仿宋"/>
          <w:bCs/>
          <w:color w:val="auto"/>
          <w:sz w:val="24"/>
          <w:szCs w:val="24"/>
          <w:highlight w:val="none"/>
        </w:rPr>
        <w:t>）公告成交结果</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自确定成交供应商之日起2个工作日内，在</w:t>
      </w:r>
      <w:r>
        <w:rPr>
          <w:rFonts w:hint="eastAsia" w:ascii="仿宋" w:hAnsi="仿宋" w:eastAsia="仿宋" w:cs="仿宋"/>
          <w:bCs/>
          <w:color w:val="auto"/>
          <w:sz w:val="24"/>
          <w:szCs w:val="24"/>
          <w:highlight w:val="none"/>
        </w:rPr>
        <w:t>指定媒体上</w:t>
      </w:r>
      <w:r>
        <w:rPr>
          <w:rFonts w:ascii="仿宋" w:hAnsi="仿宋" w:eastAsia="仿宋" w:cs="仿宋"/>
          <w:bCs/>
          <w:color w:val="auto"/>
          <w:sz w:val="24"/>
          <w:szCs w:val="24"/>
          <w:highlight w:val="none"/>
        </w:rPr>
        <w:t>公告成交结果，公告期限为1个工作日。</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w:t>
      </w:r>
      <w:r>
        <w:rPr>
          <w:rFonts w:ascii="仿宋" w:hAnsi="仿宋" w:eastAsia="仿宋" w:cs="仿宋"/>
          <w:bCs/>
          <w:color w:val="auto"/>
          <w:sz w:val="24"/>
          <w:szCs w:val="24"/>
          <w:highlight w:val="none"/>
        </w:rPr>
        <w:t>）发放成交通知书</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公告成交结果的同时，</w:t>
      </w:r>
      <w:r>
        <w:rPr>
          <w:rFonts w:hint="eastAsia" w:ascii="仿宋" w:hAnsi="仿宋" w:eastAsia="仿宋" w:cs="仿宋"/>
          <w:bCs/>
          <w:color w:val="auto"/>
          <w:sz w:val="24"/>
          <w:szCs w:val="24"/>
          <w:highlight w:val="none"/>
          <w:lang w:eastAsia="zh-CN"/>
        </w:rPr>
        <w:t>采购人</w:t>
      </w:r>
      <w:r>
        <w:rPr>
          <w:rFonts w:ascii="仿宋" w:hAnsi="仿宋" w:eastAsia="仿宋" w:cs="仿宋"/>
          <w:bCs/>
          <w:color w:val="auto"/>
          <w:sz w:val="24"/>
          <w:szCs w:val="24"/>
          <w:highlight w:val="none"/>
        </w:rPr>
        <w:t>向成交供应商发放成交通知书。</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成交通知书发出后，采购人不得违法改变成交结果，成交供应商无正当理由不得放弃成交。</w:t>
      </w:r>
    </w:p>
    <w:p>
      <w:pPr>
        <w:widowControl/>
        <w:jc w:val="left"/>
        <w:rPr>
          <w:rFonts w:ascii="仿宋" w:hAnsi="仿宋" w:eastAsia="仿宋"/>
          <w:b/>
          <w:bCs/>
          <w:color w:val="auto"/>
          <w:kern w:val="44"/>
          <w:sz w:val="44"/>
          <w:szCs w:val="44"/>
          <w:highlight w:val="none"/>
        </w:rPr>
      </w:pPr>
      <w:r>
        <w:rPr>
          <w:rFonts w:ascii="仿宋" w:hAnsi="仿宋" w:eastAsia="仿宋"/>
          <w:color w:val="auto"/>
          <w:highlight w:val="none"/>
        </w:rPr>
        <w:br w:type="page"/>
      </w:r>
    </w:p>
    <w:p>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第五部分 合同条款及格式</w:t>
      </w:r>
    </w:p>
    <w:p>
      <w:pPr>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合同编号：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p>
    <w:p>
      <w:pPr>
        <w:spacing w:line="480" w:lineRule="auto"/>
        <w:jc w:val="center"/>
        <w:rPr>
          <w:rFonts w:ascii="仿宋" w:hAnsi="仿宋" w:eastAsia="仿宋" w:cs="Times New Roman"/>
          <w:b/>
          <w:color w:val="auto"/>
          <w:sz w:val="24"/>
          <w:szCs w:val="24"/>
          <w:highlight w:val="none"/>
        </w:rPr>
      </w:pPr>
    </w:p>
    <w:p>
      <w:pPr>
        <w:spacing w:line="480" w:lineRule="auto"/>
        <w:jc w:val="center"/>
        <w:rPr>
          <w:rFonts w:ascii="仿宋" w:hAnsi="仿宋" w:eastAsia="仿宋" w:cs="Times New Roman"/>
          <w:b/>
          <w:color w:val="auto"/>
          <w:sz w:val="24"/>
          <w:szCs w:val="24"/>
          <w:highlight w:val="none"/>
        </w:rPr>
      </w:pPr>
    </w:p>
    <w:p>
      <w:pPr>
        <w:spacing w:line="480" w:lineRule="auto"/>
        <w:jc w:val="center"/>
        <w:rPr>
          <w:rFonts w:ascii="仿宋" w:hAnsi="仿宋" w:eastAsia="仿宋" w:cs="Times New Roman"/>
          <w:b/>
          <w:color w:val="auto"/>
          <w:sz w:val="24"/>
          <w:szCs w:val="24"/>
          <w:highlight w:val="none"/>
        </w:rPr>
      </w:pPr>
    </w:p>
    <w:p>
      <w:pPr>
        <w:spacing w:line="480" w:lineRule="auto"/>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政府采购合同</w:t>
      </w:r>
    </w:p>
    <w:p>
      <w:pPr>
        <w:spacing w:line="48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（货物类）</w:t>
      </w:r>
    </w:p>
    <w:p>
      <w:pPr>
        <w:autoSpaceDE w:val="0"/>
        <w:autoSpaceDN w:val="0"/>
        <w:adjustRightInd w:val="0"/>
        <w:jc w:val="left"/>
        <w:rPr>
          <w:rFonts w:ascii="仿宋" w:hAnsi="仿宋" w:eastAsia="仿宋" w:cs="Times New Roman"/>
          <w:color w:val="auto"/>
          <w:sz w:val="24"/>
          <w:szCs w:val="24"/>
          <w:highlight w:val="none"/>
        </w:rPr>
      </w:pPr>
    </w:p>
    <w:p>
      <w:pPr>
        <w:autoSpaceDE w:val="0"/>
        <w:autoSpaceDN w:val="0"/>
        <w:adjustRightInd w:val="0"/>
        <w:jc w:val="left"/>
        <w:rPr>
          <w:rFonts w:ascii="仿宋" w:hAnsi="仿宋" w:eastAsia="仿宋" w:cs="Times New Roman"/>
          <w:color w:val="auto"/>
          <w:sz w:val="24"/>
          <w:szCs w:val="24"/>
          <w:highlight w:val="none"/>
        </w:rPr>
      </w:pPr>
    </w:p>
    <w:p>
      <w:pPr>
        <w:autoSpaceDE w:val="0"/>
        <w:autoSpaceDN w:val="0"/>
        <w:adjustRightInd w:val="0"/>
        <w:jc w:val="left"/>
        <w:rPr>
          <w:rFonts w:ascii="仿宋" w:hAnsi="仿宋" w:eastAsia="仿宋" w:cs="Times New Roman"/>
          <w:color w:val="auto"/>
          <w:sz w:val="24"/>
          <w:szCs w:val="24"/>
          <w:highlight w:val="none"/>
        </w:rPr>
      </w:pPr>
    </w:p>
    <w:p>
      <w:pPr>
        <w:autoSpaceDE w:val="0"/>
        <w:autoSpaceDN w:val="0"/>
        <w:adjustRightInd w:val="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第一部分 合同书</w:t>
      </w:r>
    </w:p>
    <w:p>
      <w:pPr>
        <w:spacing w:line="360" w:lineRule="auto"/>
        <w:ind w:firstLine="480" w:firstLineChars="200"/>
        <w:rPr>
          <w:rFonts w:ascii="仿宋" w:hAnsi="仿宋" w:eastAsia="仿宋" w:cs="Times New Roman"/>
          <w:color w:val="auto"/>
          <w:sz w:val="24"/>
          <w:szCs w:val="24"/>
          <w:highlight w:val="none"/>
        </w:rPr>
      </w:pPr>
    </w:p>
    <w:p>
      <w:pPr>
        <w:autoSpaceDE w:val="0"/>
        <w:autoSpaceDN w:val="0"/>
        <w:adjustRightInd w:val="0"/>
        <w:jc w:val="left"/>
        <w:rPr>
          <w:rFonts w:ascii="仿宋" w:hAnsi="仿宋" w:eastAsia="仿宋" w:cs="Times New Roman"/>
          <w:color w:val="auto"/>
          <w:sz w:val="24"/>
          <w:szCs w:val="24"/>
          <w:highlight w:val="none"/>
        </w:rPr>
      </w:pPr>
    </w:p>
    <w:p>
      <w:pPr>
        <w:spacing w:before="120" w:line="22" w:lineRule="atLeast"/>
        <w:rPr>
          <w:rFonts w:ascii="仿宋" w:hAnsi="仿宋" w:eastAsia="仿宋" w:cs="Times New Roman"/>
          <w:color w:val="auto"/>
          <w:sz w:val="24"/>
          <w:szCs w:val="24"/>
          <w:highlight w:val="none"/>
        </w:rPr>
      </w:pPr>
    </w:p>
    <w:p>
      <w:pPr>
        <w:spacing w:before="120" w:line="22" w:lineRule="atLeast"/>
        <w:ind w:left="96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项目名称：</w:t>
      </w:r>
      <w:r>
        <w:rPr>
          <w:rFonts w:hint="eastAsia" w:ascii="仿宋" w:hAnsi="仿宋" w:eastAsia="仿宋" w:cs="Times New Roman"/>
          <w:color w:val="auto"/>
          <w:sz w:val="24"/>
          <w:szCs w:val="24"/>
          <w:highlight w:val="none"/>
          <w:u w:val="single"/>
        </w:rPr>
        <w:t xml:space="preserve"> </w:t>
      </w:r>
    </w:p>
    <w:p>
      <w:pPr>
        <w:spacing w:before="120" w:line="22" w:lineRule="atLeast"/>
        <w:rPr>
          <w:rFonts w:ascii="仿宋" w:hAnsi="仿宋" w:eastAsia="仿宋" w:cs="Times New Roman"/>
          <w:color w:val="auto"/>
          <w:sz w:val="24"/>
          <w:szCs w:val="24"/>
          <w:highlight w:val="none"/>
        </w:rPr>
      </w:pPr>
    </w:p>
    <w:p>
      <w:pPr>
        <w:spacing w:before="120" w:line="22" w:lineRule="atLeast"/>
        <w:rPr>
          <w:rFonts w:ascii="仿宋" w:hAnsi="仿宋" w:eastAsia="仿宋" w:cs="Times New Roman"/>
          <w:color w:val="auto"/>
          <w:sz w:val="24"/>
          <w:szCs w:val="24"/>
          <w:highlight w:val="none"/>
        </w:rPr>
      </w:pPr>
    </w:p>
    <w:p>
      <w:pPr>
        <w:rPr>
          <w:rFonts w:ascii="仿宋" w:hAnsi="仿宋" w:eastAsia="仿宋" w:cs="Times New Roman"/>
          <w:color w:val="auto"/>
          <w:sz w:val="24"/>
          <w:szCs w:val="24"/>
          <w:highlight w:val="none"/>
        </w:rPr>
      </w:pPr>
    </w:p>
    <w:p>
      <w:pPr>
        <w:spacing w:before="120" w:line="22" w:lineRule="atLeast"/>
        <w:ind w:left="96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甲方：</w:t>
      </w:r>
      <w:r>
        <w:rPr>
          <w:rFonts w:hint="eastAsia" w:ascii="仿宋" w:hAnsi="仿宋" w:eastAsia="仿宋" w:cs="Times New Roman"/>
          <w:color w:val="auto"/>
          <w:sz w:val="24"/>
          <w:szCs w:val="24"/>
          <w:highlight w:val="none"/>
          <w:u w:val="single"/>
        </w:rPr>
        <w:t xml:space="preserve"> </w:t>
      </w:r>
    </w:p>
    <w:p>
      <w:pPr>
        <w:spacing w:before="120" w:line="22" w:lineRule="atLeast"/>
        <w:rPr>
          <w:rFonts w:ascii="仿宋" w:hAnsi="仿宋" w:eastAsia="仿宋" w:cs="Times New Roman"/>
          <w:color w:val="auto"/>
          <w:sz w:val="24"/>
          <w:szCs w:val="24"/>
          <w:highlight w:val="none"/>
        </w:rPr>
      </w:pPr>
    </w:p>
    <w:p>
      <w:pPr>
        <w:spacing w:before="120" w:line="22" w:lineRule="atLeast"/>
        <w:ind w:left="96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乙方：</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p>
    <w:p>
      <w:pPr>
        <w:spacing w:before="120" w:line="22" w:lineRule="atLeast"/>
        <w:rPr>
          <w:rFonts w:ascii="仿宋" w:hAnsi="仿宋" w:eastAsia="仿宋" w:cs="Times New Roman"/>
          <w:color w:val="auto"/>
          <w:sz w:val="24"/>
          <w:szCs w:val="24"/>
          <w:highlight w:val="none"/>
        </w:rPr>
      </w:pPr>
    </w:p>
    <w:p>
      <w:pPr>
        <w:spacing w:before="120" w:line="22" w:lineRule="atLeast"/>
        <w:ind w:firstLine="960" w:firstLineChars="4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签订地：</w:t>
      </w:r>
      <w:r>
        <w:rPr>
          <w:rFonts w:hint="eastAsia" w:ascii="仿宋" w:hAnsi="仿宋" w:eastAsia="仿宋" w:cs="Times New Roman"/>
          <w:color w:val="auto"/>
          <w:sz w:val="24"/>
          <w:szCs w:val="24"/>
          <w:highlight w:val="none"/>
          <w:u w:val="single"/>
        </w:rPr>
        <w:t xml:space="preserve">                                     </w:t>
      </w:r>
    </w:p>
    <w:p>
      <w:pPr>
        <w:spacing w:before="120" w:line="22" w:lineRule="atLeast"/>
        <w:rPr>
          <w:rFonts w:ascii="仿宋" w:hAnsi="仿宋" w:eastAsia="仿宋" w:cs="Times New Roman"/>
          <w:color w:val="auto"/>
          <w:sz w:val="24"/>
          <w:szCs w:val="24"/>
          <w:highlight w:val="none"/>
        </w:rPr>
      </w:pPr>
    </w:p>
    <w:p>
      <w:pPr>
        <w:ind w:firstLine="960" w:firstLineChars="4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签订日期：</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日</w:t>
      </w:r>
    </w:p>
    <w:p>
      <w:pPr>
        <w:widowControl/>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年</w:t>
      </w: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月</w:t>
      </w:r>
      <w:r>
        <w:rPr>
          <w:rFonts w:hint="eastAsia" w:ascii="仿宋" w:hAnsi="仿宋" w:eastAsia="仿宋" w:cs="Times New Roman"/>
          <w:color w:val="auto"/>
          <w:sz w:val="24"/>
          <w:szCs w:val="24"/>
          <w:highlight w:val="none"/>
          <w:u w:val="single"/>
          <w:lang w:val="zh-CN"/>
        </w:rPr>
        <w:t xml:space="preserve">    </w:t>
      </w:r>
      <w:r>
        <w:rPr>
          <w:rFonts w:hint="eastAsia" w:ascii="仿宋" w:hAnsi="仿宋" w:eastAsia="仿宋" w:cs="Times New Roman"/>
          <w:color w:val="auto"/>
          <w:sz w:val="24"/>
          <w:szCs w:val="24"/>
          <w:highlight w:val="none"/>
          <w:lang w:val="zh-CN"/>
        </w:rPr>
        <w:t>日</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南通市</w:t>
      </w:r>
      <w:r>
        <w:rPr>
          <w:rFonts w:hint="eastAsia" w:ascii="仿宋" w:hAnsi="仿宋" w:eastAsia="仿宋" w:cs="Times New Roman"/>
          <w:color w:val="auto"/>
          <w:sz w:val="24"/>
          <w:szCs w:val="24"/>
          <w:highlight w:val="none"/>
          <w:u w:val="single"/>
          <w:lang w:eastAsia="zh-CN"/>
        </w:rPr>
        <w:t>农产品质量检验测试中心</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以</w:t>
      </w:r>
      <w:r>
        <w:rPr>
          <w:rFonts w:hint="eastAsia" w:ascii="仿宋" w:hAnsi="仿宋" w:eastAsia="仿宋" w:cs="Times New Roman"/>
          <w:color w:val="auto"/>
          <w:sz w:val="24"/>
          <w:szCs w:val="24"/>
          <w:highlight w:val="none"/>
          <w:u w:val="single"/>
        </w:rPr>
        <w:t xml:space="preserve"> 询价方式 </w:t>
      </w:r>
      <w:r>
        <w:rPr>
          <w:rFonts w:hint="eastAsia" w:ascii="仿宋" w:hAnsi="仿宋" w:eastAsia="仿宋" w:cs="Times New Roman"/>
          <w:color w:val="auto"/>
          <w:sz w:val="24"/>
          <w:szCs w:val="24"/>
          <w:highlight w:val="none"/>
        </w:rPr>
        <w:t>对</w:t>
      </w:r>
      <w:r>
        <w:rPr>
          <w:rFonts w:hint="eastAsia" w:ascii="仿宋" w:hAnsi="仿宋" w:eastAsia="仿宋" w:cs="Times New Roman"/>
          <w:color w:val="auto"/>
          <w:sz w:val="24"/>
          <w:szCs w:val="24"/>
          <w:highlight w:val="none"/>
          <w:u w:val="single"/>
          <w:lang w:eastAsia="zh-CN"/>
        </w:rPr>
        <w:t>南通市农产品质量检验测试中心标准物质采购项目</w:t>
      </w:r>
      <w:r>
        <w:rPr>
          <w:rFonts w:hint="eastAsia" w:ascii="仿宋" w:hAnsi="仿宋" w:eastAsia="仿宋" w:cs="Times New Roman"/>
          <w:color w:val="auto"/>
          <w:sz w:val="24"/>
          <w:szCs w:val="24"/>
          <w:highlight w:val="none"/>
        </w:rPr>
        <w:t>进行了采购。经</w:t>
      </w:r>
      <w:r>
        <w:rPr>
          <w:rFonts w:hint="eastAsia" w:ascii="仿宋" w:hAnsi="仿宋" w:eastAsia="仿宋" w:cs="Times New Roman"/>
          <w:color w:val="auto"/>
          <w:sz w:val="24"/>
          <w:szCs w:val="24"/>
          <w:highlight w:val="none"/>
          <w:u w:val="single"/>
        </w:rPr>
        <w:t xml:space="preserve">   （相关评定主体名称）   </w:t>
      </w:r>
      <w:r>
        <w:rPr>
          <w:rFonts w:hint="eastAsia" w:ascii="仿宋" w:hAnsi="仿宋" w:eastAsia="仿宋" w:cs="Times New Roman"/>
          <w:color w:val="auto"/>
          <w:sz w:val="24"/>
          <w:szCs w:val="24"/>
          <w:highlight w:val="none"/>
        </w:rPr>
        <w:t>评定，</w:t>
      </w:r>
      <w:r>
        <w:rPr>
          <w:rFonts w:hint="eastAsia" w:ascii="仿宋" w:hAnsi="仿宋" w:eastAsia="仿宋" w:cs="Times New Roman"/>
          <w:color w:val="auto"/>
          <w:sz w:val="24"/>
          <w:szCs w:val="24"/>
          <w:highlight w:val="none"/>
          <w:u w:val="single"/>
        </w:rPr>
        <w:t xml:space="preserve">   （中标供应商名称）</w:t>
      </w:r>
      <w:r>
        <w:rPr>
          <w:rFonts w:hint="eastAsia" w:ascii="仿宋" w:hAnsi="仿宋" w:eastAsia="仿宋" w:cs="Times New Roman"/>
          <w:color w:val="auto"/>
          <w:sz w:val="24"/>
          <w:szCs w:val="24"/>
          <w:highlight w:val="none"/>
        </w:rPr>
        <w:t>为该项目中标供应商。现于中标通知书发出之日起三十日内，按照采购文件确定的事项签订本合同。</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zh-CN"/>
        </w:rPr>
        <w:t>根据《中华人民共和国合同法》、《中华人民共和国政府采购法》等相关法律法规之规定，按照平等、自愿、公平和诚实信用的原则，经</w:t>
      </w:r>
      <w:r>
        <w:rPr>
          <w:rFonts w:hint="eastAsia" w:ascii="仿宋" w:hAnsi="仿宋" w:eastAsia="仿宋" w:cs="Times New Roman"/>
          <w:color w:val="auto"/>
          <w:sz w:val="24"/>
          <w:szCs w:val="24"/>
          <w:highlight w:val="none"/>
          <w:u w:val="single"/>
        </w:rPr>
        <w:t xml:space="preserve"> 南通市</w:t>
      </w:r>
      <w:r>
        <w:rPr>
          <w:rFonts w:hint="eastAsia" w:ascii="仿宋" w:hAnsi="仿宋" w:eastAsia="仿宋" w:cs="Times New Roman"/>
          <w:color w:val="auto"/>
          <w:sz w:val="24"/>
          <w:szCs w:val="24"/>
          <w:highlight w:val="none"/>
          <w:u w:val="single"/>
          <w:lang w:eastAsia="zh-CN"/>
        </w:rPr>
        <w:t>农产品质量检验测试中心</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lang w:val="zh-CN"/>
        </w:rPr>
        <w:t>(以下简称：甲方)和</w:t>
      </w:r>
      <w:r>
        <w:rPr>
          <w:rFonts w:hint="eastAsia" w:ascii="仿宋" w:hAnsi="仿宋" w:eastAsia="仿宋" w:cs="Times New Roman"/>
          <w:color w:val="auto"/>
          <w:sz w:val="24"/>
          <w:szCs w:val="24"/>
          <w:highlight w:val="none"/>
          <w:u w:val="single"/>
        </w:rPr>
        <w:t xml:space="preserve">   （中标供应商名称）   </w:t>
      </w:r>
      <w:r>
        <w:rPr>
          <w:rFonts w:hint="eastAsia" w:ascii="仿宋" w:hAnsi="仿宋" w:eastAsia="仿宋" w:cs="Times New Roman"/>
          <w:color w:val="auto"/>
          <w:sz w:val="24"/>
          <w:szCs w:val="24"/>
          <w:highlight w:val="none"/>
          <w:lang w:val="zh-CN"/>
        </w:rPr>
        <w:t>(以下简称：乙方)协商一致，约定以下合同</w:t>
      </w:r>
      <w:r>
        <w:rPr>
          <w:rFonts w:hint="eastAsia" w:ascii="仿宋" w:hAnsi="仿宋" w:eastAsia="仿宋" w:cs="Times New Roman"/>
          <w:color w:val="auto"/>
          <w:sz w:val="24"/>
          <w:szCs w:val="24"/>
          <w:highlight w:val="none"/>
        </w:rPr>
        <w:t>条款，以兹共同遵守、全面履行。</w:t>
      </w:r>
    </w:p>
    <w:p>
      <w:pPr>
        <w:spacing w:line="360" w:lineRule="auto"/>
        <w:ind w:firstLine="482" w:firstLineChars="200"/>
        <w:rPr>
          <w:rFonts w:ascii="仿宋" w:hAnsi="仿宋" w:eastAsia="仿宋" w:cs="Times New Roman"/>
          <w:b/>
          <w:bCs/>
          <w:color w:val="auto"/>
          <w:sz w:val="24"/>
          <w:szCs w:val="24"/>
          <w:highlight w:val="none"/>
        </w:rPr>
      </w:pPr>
      <w:bookmarkStart w:id="95" w:name="_Toc2232"/>
      <w:bookmarkStart w:id="96" w:name="_Toc24059"/>
      <w:bookmarkStart w:id="97" w:name="_Toc3029"/>
      <w:r>
        <w:rPr>
          <w:rFonts w:hint="eastAsia" w:ascii="仿宋" w:hAnsi="仿宋" w:eastAsia="仿宋" w:cs="Times New Roman"/>
          <w:b/>
          <w:bCs/>
          <w:color w:val="auto"/>
          <w:sz w:val="24"/>
          <w:szCs w:val="24"/>
          <w:highlight w:val="none"/>
        </w:rPr>
        <w:t>1.1 合同组成部分</w:t>
      </w:r>
      <w:bookmarkEnd w:id="95"/>
      <w:bookmarkEnd w:id="96"/>
      <w:bookmarkEnd w:id="97"/>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1.1.1 本合同及其补充合同、变更协议；</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1.1.2 中标通知书；</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1.1.3 投标文件（含澄清或者说明文件）；</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1.1.4 招标文件（含澄清或者修改文件）；</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1.1.5 其他相关采购文件。</w:t>
      </w:r>
    </w:p>
    <w:p>
      <w:pPr>
        <w:spacing w:line="360" w:lineRule="auto"/>
        <w:ind w:firstLine="482" w:firstLineChars="200"/>
        <w:rPr>
          <w:rFonts w:ascii="仿宋" w:hAnsi="仿宋" w:eastAsia="仿宋" w:cs="Times New Roman"/>
          <w:b/>
          <w:bCs/>
          <w:color w:val="auto"/>
          <w:sz w:val="24"/>
          <w:szCs w:val="24"/>
          <w:highlight w:val="none"/>
        </w:rPr>
      </w:pPr>
      <w:bookmarkStart w:id="98" w:name="_Toc24300"/>
      <w:bookmarkStart w:id="99" w:name="_Toc27126"/>
      <w:bookmarkStart w:id="100" w:name="_Toc21295"/>
      <w:r>
        <w:rPr>
          <w:rFonts w:hint="eastAsia" w:ascii="仿宋" w:hAnsi="仿宋" w:eastAsia="仿宋" w:cs="Times New Roman"/>
          <w:b/>
          <w:bCs/>
          <w:color w:val="auto"/>
          <w:sz w:val="24"/>
          <w:szCs w:val="24"/>
          <w:highlight w:val="none"/>
        </w:rPr>
        <w:t>1.2 货物</w:t>
      </w:r>
      <w:bookmarkEnd w:id="98"/>
      <w:bookmarkEnd w:id="99"/>
      <w:bookmarkEnd w:id="100"/>
    </w:p>
    <w:p>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1.2.1 货物</w:t>
      </w:r>
      <w:r>
        <w:rPr>
          <w:rFonts w:ascii="仿宋" w:hAnsi="仿宋" w:eastAsia="仿宋" w:cs="Times New Roman"/>
          <w:color w:val="auto"/>
          <w:sz w:val="24"/>
          <w:szCs w:val="24"/>
          <w:highlight w:val="none"/>
        </w:rPr>
        <w:t>名称：</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1.2.2 货物</w:t>
      </w:r>
      <w:r>
        <w:rPr>
          <w:rFonts w:ascii="仿宋" w:hAnsi="仿宋" w:eastAsia="仿宋" w:cs="Times New Roman"/>
          <w:color w:val="auto"/>
          <w:sz w:val="24"/>
          <w:szCs w:val="24"/>
          <w:highlight w:val="none"/>
        </w:rPr>
        <w:t>数量：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1.2.3 货物质量：</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01" w:name="_Toc21631"/>
      <w:bookmarkStart w:id="102" w:name="_Toc23292"/>
      <w:bookmarkStart w:id="103" w:name="_Toc21551"/>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rPr>
        <w:t xml:space="preserve"> 价款</w:t>
      </w:r>
      <w:bookmarkEnd w:id="101"/>
      <w:bookmarkEnd w:id="102"/>
      <w:bookmarkEnd w:id="103"/>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本合同总价为</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元</w:t>
      </w:r>
      <w:r>
        <w:rPr>
          <w:rFonts w:hint="eastAsia" w:ascii="仿宋" w:hAnsi="仿宋" w:eastAsia="仿宋" w:cs="Times New Roman"/>
          <w:color w:val="auto"/>
          <w:sz w:val="24"/>
          <w:szCs w:val="24"/>
          <w:highlight w:val="none"/>
        </w:rPr>
        <w:t>（大写：</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元人民币）</w:t>
      </w:r>
      <w:r>
        <w:rPr>
          <w:rFonts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u w:val="single"/>
        </w:rPr>
      </w:pPr>
      <w:r>
        <w:rPr>
          <w:rFonts w:ascii="仿宋" w:hAnsi="仿宋" w:eastAsia="仿宋" w:cs="Times New Roman"/>
          <w:color w:val="auto"/>
          <w:sz w:val="24"/>
          <w:szCs w:val="24"/>
          <w:highlight w:val="none"/>
        </w:rPr>
        <w:t>分项价格：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jc w:val="center"/>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序号</w:t>
            </w: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vAlign w:val="center"/>
          </w:tcPr>
          <w:p>
            <w:pPr>
              <w:spacing w:line="360" w:lineRule="auto"/>
              <w:jc w:val="center"/>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auto"/>
                <w:sz w:val="24"/>
                <w:szCs w:val="24"/>
                <w:highlight w:val="none"/>
              </w:rPr>
            </w:pPr>
          </w:p>
        </w:tc>
        <w:tc>
          <w:tcPr>
            <w:tcW w:w="3402" w:type="dxa"/>
            <w:vAlign w:val="center"/>
          </w:tcPr>
          <w:p>
            <w:pPr>
              <w:spacing w:line="360" w:lineRule="auto"/>
              <w:ind w:firstLine="200"/>
              <w:jc w:val="center"/>
              <w:rPr>
                <w:rFonts w:ascii="仿宋" w:hAnsi="仿宋" w:eastAsia="仿宋" w:cs="Times New Roman"/>
                <w:color w:val="auto"/>
                <w:sz w:val="24"/>
                <w:szCs w:val="24"/>
                <w:highlight w:val="none"/>
              </w:rPr>
            </w:pP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spacing w:line="360" w:lineRule="auto"/>
              <w:ind w:firstLine="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vAlign w:val="center"/>
          </w:tcPr>
          <w:p>
            <w:pPr>
              <w:spacing w:line="360" w:lineRule="auto"/>
              <w:ind w:firstLine="200"/>
              <w:jc w:val="center"/>
              <w:rPr>
                <w:rFonts w:ascii="仿宋" w:hAnsi="仿宋" w:eastAsia="仿宋" w:cs="Times New Roman"/>
                <w:color w:val="auto"/>
                <w:sz w:val="24"/>
                <w:szCs w:val="24"/>
                <w:highlight w:val="none"/>
              </w:rPr>
            </w:pPr>
          </w:p>
        </w:tc>
      </w:tr>
    </w:tbl>
    <w:p>
      <w:pPr>
        <w:spacing w:line="360" w:lineRule="auto"/>
        <w:ind w:firstLine="482" w:firstLineChars="200"/>
        <w:rPr>
          <w:rFonts w:ascii="仿宋" w:hAnsi="仿宋" w:eastAsia="仿宋" w:cs="Times New Roman"/>
          <w:b/>
          <w:bCs/>
          <w:color w:val="auto"/>
          <w:sz w:val="24"/>
          <w:szCs w:val="24"/>
          <w:highlight w:val="none"/>
        </w:rPr>
      </w:pPr>
      <w:bookmarkStart w:id="104" w:name="_Toc10340"/>
      <w:bookmarkStart w:id="105" w:name="_Toc22618"/>
      <w:bookmarkStart w:id="106" w:name="_Toc1814"/>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4</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付款方式和发票开具方式</w:t>
      </w:r>
      <w:bookmarkEnd w:id="104"/>
      <w:bookmarkEnd w:id="105"/>
      <w:bookmarkEnd w:id="106"/>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1.4.1 </w:t>
      </w:r>
      <w:r>
        <w:rPr>
          <w:rFonts w:ascii="仿宋" w:hAnsi="仿宋" w:eastAsia="仿宋" w:cs="Times New Roman"/>
          <w:color w:val="auto"/>
          <w:sz w:val="24"/>
          <w:szCs w:val="24"/>
          <w:highlight w:val="none"/>
        </w:rPr>
        <w:t>付款方式：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1.4.2 发票开具方式：</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07" w:name="_Toc32071"/>
      <w:bookmarkStart w:id="108" w:name="_Toc2846"/>
      <w:bookmarkStart w:id="109" w:name="_Toc19304"/>
      <w:r>
        <w:rPr>
          <w:rFonts w:hint="eastAsia" w:ascii="仿宋" w:hAnsi="仿宋" w:eastAsia="仿宋" w:cs="Times New Roman"/>
          <w:b/>
          <w:bCs/>
          <w:color w:val="auto"/>
          <w:sz w:val="24"/>
          <w:szCs w:val="24"/>
          <w:highlight w:val="none"/>
        </w:rPr>
        <w:t>1.</w:t>
      </w:r>
      <w:r>
        <w:rPr>
          <w:rFonts w:ascii="仿宋" w:hAnsi="仿宋" w:eastAsia="仿宋" w:cs="Times New Roman"/>
          <w:b/>
          <w:bCs/>
          <w:color w:val="auto"/>
          <w:sz w:val="24"/>
          <w:szCs w:val="24"/>
          <w:highlight w:val="none"/>
        </w:rPr>
        <w:t>5</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货物交付期限</w:t>
      </w:r>
      <w:r>
        <w:rPr>
          <w:rFonts w:hint="eastAsia" w:ascii="仿宋" w:hAnsi="仿宋" w:eastAsia="仿宋" w:cs="Times New Roman"/>
          <w:b/>
          <w:bCs/>
          <w:color w:val="auto"/>
          <w:sz w:val="24"/>
          <w:szCs w:val="24"/>
          <w:highlight w:val="none"/>
        </w:rPr>
        <w:t>、地点和方式</w:t>
      </w:r>
      <w:bookmarkEnd w:id="107"/>
      <w:bookmarkEnd w:id="108"/>
      <w:bookmarkEnd w:id="109"/>
    </w:p>
    <w:p>
      <w:pPr>
        <w:spacing w:line="56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1.5.1 交付期限</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1.5.2 交付地点</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1.5.3 交付方式：</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10" w:name="_Toc27250"/>
      <w:bookmarkStart w:id="111" w:name="_Toc19554"/>
      <w:bookmarkStart w:id="112" w:name="_Toc21423"/>
      <w:r>
        <w:rPr>
          <w:rFonts w:hint="eastAsia" w:ascii="仿宋" w:hAnsi="仿宋" w:eastAsia="仿宋" w:cs="Times New Roman"/>
          <w:b/>
          <w:bCs/>
          <w:color w:val="auto"/>
          <w:sz w:val="24"/>
          <w:szCs w:val="24"/>
          <w:highlight w:val="none"/>
        </w:rPr>
        <w:t>1.6 违约责任</w:t>
      </w:r>
      <w:bookmarkEnd w:id="110"/>
      <w:bookmarkEnd w:id="111"/>
      <w:bookmarkEnd w:id="112"/>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1.6.1 </w:t>
      </w:r>
      <w:r>
        <w:rPr>
          <w:rFonts w:ascii="仿宋" w:hAnsi="仿宋" w:eastAsia="仿宋" w:cs="Times New Roman"/>
          <w:color w:val="auto"/>
          <w:sz w:val="24"/>
          <w:szCs w:val="24"/>
          <w:highlight w:val="none"/>
        </w:rPr>
        <w:t>除不可抗力外，如果乙方没有按照本合同约定的期限</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地点和方式交付货物，那么甲方可要求乙方支付违约金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违约金按每迟延交付货物一日的应交付而未交付货物价格的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%计算</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最高限额为</w:t>
      </w:r>
      <w:r>
        <w:rPr>
          <w:rFonts w:hint="eastAsia" w:ascii="仿宋" w:hAnsi="仿宋" w:eastAsia="仿宋" w:cs="Times New Roman"/>
          <w:color w:val="auto"/>
          <w:sz w:val="24"/>
          <w:szCs w:val="24"/>
          <w:highlight w:val="none"/>
        </w:rPr>
        <w:t>本</w:t>
      </w:r>
      <w:r>
        <w:rPr>
          <w:rFonts w:ascii="仿宋" w:hAnsi="仿宋" w:eastAsia="仿宋" w:cs="Times New Roman"/>
          <w:color w:val="auto"/>
          <w:sz w:val="24"/>
          <w:szCs w:val="24"/>
          <w:highlight w:val="none"/>
        </w:rPr>
        <w:t>合同总价的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迟延交付货物的违约金计算数额达到前述最高限额之日起</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甲方有权在要求乙方支付违约金的同时</w:t>
      </w:r>
      <w:r>
        <w:rPr>
          <w:rFonts w:hint="eastAsia" w:ascii="仿宋" w:hAnsi="仿宋" w:eastAsia="仿宋" w:cs="Times New Roman"/>
          <w:color w:val="auto"/>
          <w:sz w:val="24"/>
          <w:szCs w:val="24"/>
          <w:highlight w:val="none"/>
        </w:rPr>
        <w:t>，书面通知乙方</w:t>
      </w:r>
      <w:r>
        <w:rPr>
          <w:rFonts w:ascii="仿宋" w:hAnsi="仿宋" w:eastAsia="仿宋" w:cs="Times New Roman"/>
          <w:color w:val="auto"/>
          <w:sz w:val="24"/>
          <w:szCs w:val="24"/>
          <w:highlight w:val="none"/>
        </w:rPr>
        <w:t>解除本合同</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1.6.2 </w:t>
      </w:r>
      <w:r>
        <w:rPr>
          <w:rFonts w:ascii="仿宋" w:hAnsi="仿宋" w:eastAsia="仿宋" w:cs="Times New Roman"/>
          <w:color w:val="auto"/>
          <w:sz w:val="24"/>
          <w:szCs w:val="24"/>
          <w:highlight w:val="none"/>
        </w:rPr>
        <w:t>除不可抗力外，如果甲方没有按照本合同约定的付款方式付款，那么乙方可要求甲方支付违约金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违约金按每迟延</w:t>
      </w:r>
      <w:r>
        <w:rPr>
          <w:rFonts w:hint="eastAsia" w:ascii="仿宋" w:hAnsi="仿宋" w:eastAsia="仿宋" w:cs="Times New Roman"/>
          <w:color w:val="auto"/>
          <w:sz w:val="24"/>
          <w:szCs w:val="24"/>
          <w:highlight w:val="none"/>
        </w:rPr>
        <w:t>付款</w:t>
      </w:r>
      <w:r>
        <w:rPr>
          <w:rFonts w:ascii="仿宋" w:hAnsi="仿宋" w:eastAsia="仿宋" w:cs="Times New Roman"/>
          <w:color w:val="auto"/>
          <w:sz w:val="24"/>
          <w:szCs w:val="24"/>
          <w:highlight w:val="none"/>
        </w:rPr>
        <w:t>一日的应付而未付款的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%计算</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最高限额为</w:t>
      </w:r>
      <w:r>
        <w:rPr>
          <w:rFonts w:hint="eastAsia" w:ascii="仿宋" w:hAnsi="仿宋" w:eastAsia="仿宋" w:cs="Times New Roman"/>
          <w:color w:val="auto"/>
          <w:sz w:val="24"/>
          <w:szCs w:val="24"/>
          <w:highlight w:val="none"/>
        </w:rPr>
        <w:t>本</w:t>
      </w:r>
      <w:r>
        <w:rPr>
          <w:rFonts w:ascii="仿宋" w:hAnsi="仿宋" w:eastAsia="仿宋" w:cs="Times New Roman"/>
          <w:color w:val="auto"/>
          <w:sz w:val="24"/>
          <w:szCs w:val="24"/>
          <w:highlight w:val="none"/>
        </w:rPr>
        <w:t>合同总价的</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迟延</w:t>
      </w:r>
      <w:r>
        <w:rPr>
          <w:rFonts w:hint="eastAsia" w:ascii="仿宋" w:hAnsi="仿宋" w:eastAsia="仿宋" w:cs="Times New Roman"/>
          <w:color w:val="auto"/>
          <w:sz w:val="24"/>
          <w:szCs w:val="24"/>
          <w:highlight w:val="none"/>
        </w:rPr>
        <w:t>付款</w:t>
      </w:r>
      <w:r>
        <w:rPr>
          <w:rFonts w:ascii="仿宋" w:hAnsi="仿宋" w:eastAsia="仿宋" w:cs="Times New Roman"/>
          <w:color w:val="auto"/>
          <w:sz w:val="24"/>
          <w:szCs w:val="24"/>
          <w:highlight w:val="none"/>
        </w:rPr>
        <w:t>的违约金计算数额达到前述最高限额之日起</w:t>
      </w:r>
      <w:r>
        <w:rPr>
          <w:rFonts w:hint="eastAsia" w:ascii="仿宋" w:hAnsi="仿宋" w:eastAsia="仿宋" w:cs="Times New Roman"/>
          <w:color w:val="auto"/>
          <w:sz w:val="24"/>
          <w:szCs w:val="24"/>
          <w:highlight w:val="none"/>
        </w:rPr>
        <w:t>，乙</w:t>
      </w:r>
      <w:r>
        <w:rPr>
          <w:rFonts w:ascii="仿宋" w:hAnsi="仿宋" w:eastAsia="仿宋" w:cs="Times New Roman"/>
          <w:color w:val="auto"/>
          <w:sz w:val="24"/>
          <w:szCs w:val="24"/>
          <w:highlight w:val="none"/>
        </w:rPr>
        <w:t>方有权在要求甲方支付违约金的同时</w:t>
      </w:r>
      <w:r>
        <w:rPr>
          <w:rFonts w:hint="eastAsia" w:ascii="仿宋" w:hAnsi="仿宋" w:eastAsia="仿宋" w:cs="Times New Roman"/>
          <w:color w:val="auto"/>
          <w:sz w:val="24"/>
          <w:szCs w:val="24"/>
          <w:highlight w:val="none"/>
        </w:rPr>
        <w:t>，书面通知甲方</w:t>
      </w:r>
      <w:r>
        <w:rPr>
          <w:rFonts w:ascii="仿宋" w:hAnsi="仿宋" w:eastAsia="仿宋" w:cs="Times New Roman"/>
          <w:color w:val="auto"/>
          <w:sz w:val="24"/>
          <w:szCs w:val="24"/>
          <w:highlight w:val="none"/>
        </w:rPr>
        <w:t>解除本合同</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ascii="仿宋" w:hAnsi="仿宋" w:eastAsia="仿宋" w:cs="Times New Roman"/>
          <w:b/>
          <w:bCs/>
          <w:color w:val="auto"/>
          <w:sz w:val="24"/>
          <w:szCs w:val="24"/>
          <w:highlight w:val="none"/>
        </w:rPr>
      </w:pPr>
      <w:bookmarkStart w:id="113" w:name="_Toc16021"/>
      <w:bookmarkStart w:id="114" w:name="_Toc28375"/>
      <w:bookmarkStart w:id="115" w:name="_Toc15583"/>
      <w:r>
        <w:rPr>
          <w:rFonts w:hint="eastAsia" w:ascii="仿宋" w:hAnsi="仿宋" w:eastAsia="仿宋" w:cs="Times New Roman"/>
          <w:b/>
          <w:bCs/>
          <w:color w:val="auto"/>
          <w:sz w:val="24"/>
          <w:szCs w:val="24"/>
          <w:highlight w:val="none"/>
        </w:rPr>
        <w:t>1.7 合同</w:t>
      </w:r>
      <w:r>
        <w:rPr>
          <w:rFonts w:ascii="仿宋" w:hAnsi="仿宋" w:eastAsia="仿宋" w:cs="Times New Roman"/>
          <w:b/>
          <w:bCs/>
          <w:color w:val="auto"/>
          <w:sz w:val="24"/>
          <w:szCs w:val="24"/>
          <w:highlight w:val="none"/>
        </w:rPr>
        <w:t>争议的解决</w:t>
      </w:r>
      <w:bookmarkEnd w:id="113"/>
      <w:bookmarkEnd w:id="114"/>
      <w:bookmarkEnd w:id="115"/>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本合</w:t>
      </w:r>
      <w:r>
        <w:rPr>
          <w:rFonts w:ascii="仿宋" w:hAnsi="仿宋" w:eastAsia="仿宋" w:cs="Times New Roman"/>
          <w:color w:val="auto"/>
          <w:sz w:val="24"/>
          <w:szCs w:val="24"/>
          <w:highlight w:val="none"/>
        </w:rPr>
        <w:t>同履行过程中发生的任何争议，双方当事人均可</w:t>
      </w:r>
      <w:r>
        <w:rPr>
          <w:rFonts w:hint="eastAsia" w:ascii="仿宋" w:hAnsi="仿宋" w:eastAsia="仿宋" w:cs="Times New Roman"/>
          <w:color w:val="auto"/>
          <w:sz w:val="24"/>
          <w:szCs w:val="24"/>
          <w:highlight w:val="none"/>
        </w:rPr>
        <w:t>通过和解或者调解解决；不愿和解、调解或者和解、调解不成的，可以选择下列第</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种方式解决：</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1.7.1 将争议提交</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仲裁委员会依申请仲裁时其现行有效的仲裁规则裁决；</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1.7.2 向</w:t>
      </w:r>
      <w:r>
        <w:rPr>
          <w:rFonts w:hint="eastAsia" w:ascii="仿宋" w:hAnsi="仿宋" w:eastAsia="仿宋" w:cs="Times New Roman"/>
          <w:color w:val="auto"/>
          <w:sz w:val="24"/>
          <w:szCs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Times New Roman"/>
          <w:color w:val="auto"/>
          <w:sz w:val="24"/>
          <w:szCs w:val="24"/>
          <w:highlight w:val="none"/>
        </w:rPr>
        <w:t>人民法院起诉。</w:t>
      </w:r>
    </w:p>
    <w:p>
      <w:pPr>
        <w:spacing w:line="360" w:lineRule="auto"/>
        <w:ind w:firstLine="482" w:firstLineChars="200"/>
        <w:rPr>
          <w:rFonts w:ascii="仿宋" w:hAnsi="仿宋" w:eastAsia="仿宋" w:cs="Times New Roman"/>
          <w:b/>
          <w:bCs/>
          <w:color w:val="auto"/>
          <w:sz w:val="24"/>
          <w:szCs w:val="24"/>
          <w:highlight w:val="none"/>
        </w:rPr>
      </w:pPr>
      <w:bookmarkStart w:id="116" w:name="_Toc15322"/>
      <w:bookmarkStart w:id="117" w:name="_Toc11173"/>
      <w:bookmarkStart w:id="118" w:name="_Toc7245"/>
      <w:r>
        <w:rPr>
          <w:rFonts w:hint="eastAsia" w:ascii="仿宋" w:hAnsi="仿宋" w:eastAsia="仿宋" w:cs="Times New Roman"/>
          <w:b/>
          <w:bCs/>
          <w:color w:val="auto"/>
          <w:sz w:val="24"/>
          <w:szCs w:val="24"/>
          <w:highlight w:val="none"/>
        </w:rPr>
        <w:t xml:space="preserve">1.8 </w:t>
      </w:r>
      <w:r>
        <w:rPr>
          <w:rFonts w:ascii="仿宋" w:hAnsi="仿宋" w:eastAsia="仿宋" w:cs="Times New Roman"/>
          <w:b/>
          <w:bCs/>
          <w:color w:val="auto"/>
          <w:sz w:val="24"/>
          <w:szCs w:val="24"/>
          <w:highlight w:val="none"/>
        </w:rPr>
        <w:t>合同生效</w:t>
      </w:r>
      <w:bookmarkEnd w:id="116"/>
      <w:bookmarkEnd w:id="117"/>
      <w:bookmarkEnd w:id="118"/>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本合同自</w:t>
      </w:r>
      <w:r>
        <w:rPr>
          <w:rFonts w:hint="eastAsia" w:ascii="仿宋" w:hAnsi="仿宋" w:eastAsia="仿宋" w:cs="Times New Roman"/>
          <w:color w:val="auto"/>
          <w:sz w:val="24"/>
          <w:szCs w:val="24"/>
          <w:highlight w:val="none"/>
        </w:rPr>
        <w:t>双方当事人盖章或者签字时</w:t>
      </w:r>
      <w:r>
        <w:rPr>
          <w:rFonts w:ascii="仿宋" w:hAnsi="仿宋" w:eastAsia="仿宋" w:cs="Times New Roman"/>
          <w:color w:val="auto"/>
          <w:sz w:val="24"/>
          <w:szCs w:val="24"/>
          <w:highlight w:val="none"/>
        </w:rPr>
        <w:t>生效。</w:t>
      </w:r>
    </w:p>
    <w:p>
      <w:pPr>
        <w:widowControl/>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b/>
          <w:color w:val="auto"/>
          <w:sz w:val="24"/>
          <w:szCs w:val="24"/>
          <w:highlight w:val="none"/>
          <w:lang w:val="zh-CN"/>
        </w:rPr>
        <w:t>甲方</w:t>
      </w:r>
      <w:r>
        <w:rPr>
          <w:rFonts w:hint="eastAsia" w:ascii="仿宋" w:hAnsi="仿宋" w:eastAsia="仿宋" w:cs="Times New Roman"/>
          <w:color w:val="auto"/>
          <w:sz w:val="24"/>
          <w:szCs w:val="24"/>
          <w:highlight w:val="none"/>
          <w:lang w:val="zh-CN"/>
        </w:rPr>
        <w:t xml:space="preserve">：                             </w:t>
      </w:r>
      <w:r>
        <w:rPr>
          <w:rFonts w:hint="eastAsia" w:ascii="仿宋" w:hAnsi="仿宋" w:eastAsia="仿宋" w:cs="Times New Roman"/>
          <w:b/>
          <w:color w:val="auto"/>
          <w:sz w:val="24"/>
          <w:szCs w:val="24"/>
          <w:highlight w:val="none"/>
          <w:lang w:val="zh-CN"/>
        </w:rPr>
        <w:t xml:space="preserve">      乙方</w:t>
      </w:r>
      <w:r>
        <w:rPr>
          <w:rFonts w:hint="eastAsia" w:ascii="仿宋" w:hAnsi="仿宋" w:eastAsia="仿宋" w:cs="Times New Roman"/>
          <w:color w:val="auto"/>
          <w:sz w:val="24"/>
          <w:szCs w:val="24"/>
          <w:highlight w:val="none"/>
          <w:lang w:val="zh-CN"/>
        </w:rPr>
        <w:t>：</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统一社会信用代码：                        统一社会信用代码或身份证号码：</w:t>
      </w:r>
    </w:p>
    <w:p>
      <w:pPr>
        <w:autoSpaceDE w:val="0"/>
        <w:autoSpaceDN w:val="0"/>
        <w:adjustRightInd w:val="0"/>
        <w:spacing w:line="560" w:lineRule="exact"/>
        <w:rPr>
          <w:rFonts w:ascii="仿宋" w:hAnsi="仿宋" w:eastAsia="仿宋" w:cs="Times New Roman"/>
          <w:color w:val="auto"/>
          <w:sz w:val="24"/>
          <w:szCs w:val="24"/>
          <w:highlight w:val="none"/>
          <w:lang w:val="zh-CN"/>
        </w:rPr>
      </w:pP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住所：                                   住所：</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法定代表人或                             法定代表人</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 xml:space="preserve">授权代表（签字）：                        或授权代表（签字）: </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联系人：                                 联系人：</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约定送达地址：                           约定送达地址：</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邮政编码：                               邮政编码：</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 xml:space="preserve">电话:                                    电话: </w:t>
      </w:r>
    </w:p>
    <w:p>
      <w:pPr>
        <w:autoSpaceDE w:val="0"/>
        <w:autoSpaceDN w:val="0"/>
        <w:adjustRightInd w:val="0"/>
        <w:spacing w:line="560" w:lineRule="exact"/>
        <w:rPr>
          <w:rFonts w:ascii="仿宋" w:hAnsi="仿宋" w:eastAsia="仿宋" w:cs="Times New Roman"/>
          <w:color w:val="auto"/>
          <w:sz w:val="24"/>
          <w:szCs w:val="24"/>
          <w:highlight w:val="none"/>
          <w:lang w:val="zh-CN"/>
        </w:rPr>
      </w:pPr>
      <w:r>
        <w:rPr>
          <w:rFonts w:hint="eastAsia" w:ascii="仿宋" w:hAnsi="仿宋" w:eastAsia="仿宋" w:cs="Times New Roman"/>
          <w:color w:val="auto"/>
          <w:sz w:val="24"/>
          <w:szCs w:val="24"/>
          <w:highlight w:val="none"/>
          <w:lang w:val="zh-CN"/>
        </w:rPr>
        <w:t>传真:                                    传真:</w:t>
      </w:r>
    </w:p>
    <w:p>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zh-CN"/>
        </w:rPr>
        <w:t>电子邮箱：                               电子邮箱：</w:t>
      </w:r>
    </w:p>
    <w:p>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开户银行：                               开户银行： </w:t>
      </w:r>
    </w:p>
    <w:p>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开户名称：                               开户名称： </w:t>
      </w:r>
    </w:p>
    <w:p>
      <w:pPr>
        <w:autoSpaceDE w:val="0"/>
        <w:autoSpaceDN w:val="0"/>
        <w:adjustRightInd w:val="0"/>
        <w:spacing w:line="560" w:lineRule="exac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开户账号：</w:t>
      </w:r>
      <w:r>
        <w:rPr>
          <w:rFonts w:hint="eastAsia" w:ascii="仿宋" w:hAnsi="仿宋" w:eastAsia="仿宋" w:cs="Times New Roman"/>
          <w:color w:val="auto"/>
          <w:sz w:val="24"/>
          <w:szCs w:val="24"/>
          <w:highlight w:val="none"/>
          <w:lang w:val="zh-CN"/>
        </w:rPr>
        <w:t xml:space="preserve">                               </w:t>
      </w:r>
      <w:r>
        <w:rPr>
          <w:rFonts w:hint="eastAsia" w:ascii="仿宋" w:hAnsi="仿宋" w:eastAsia="仿宋" w:cs="Times New Roman"/>
          <w:color w:val="auto"/>
          <w:sz w:val="24"/>
          <w:szCs w:val="24"/>
          <w:highlight w:val="none"/>
        </w:rPr>
        <w:t>开户账号：</w:t>
      </w:r>
    </w:p>
    <w:p>
      <w:pPr>
        <w:widowControl/>
        <w:jc w:val="left"/>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br w:type="page"/>
      </w:r>
    </w:p>
    <w:p>
      <w:pPr>
        <w:autoSpaceDE w:val="0"/>
        <w:autoSpaceDN w:val="0"/>
        <w:adjustRightInd w:val="0"/>
        <w:spacing w:line="560" w:lineRule="exact"/>
        <w:ind w:firstLine="20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第二部分 合同一般条款</w:t>
      </w:r>
    </w:p>
    <w:p>
      <w:pPr>
        <w:spacing w:line="360" w:lineRule="auto"/>
        <w:ind w:firstLine="482" w:firstLineChars="200"/>
        <w:rPr>
          <w:rFonts w:ascii="仿宋" w:hAnsi="仿宋" w:eastAsia="仿宋" w:cs="Times New Roman"/>
          <w:b/>
          <w:bCs/>
          <w:color w:val="auto"/>
          <w:sz w:val="24"/>
          <w:szCs w:val="24"/>
          <w:highlight w:val="none"/>
        </w:rPr>
      </w:pPr>
      <w:bookmarkStart w:id="119" w:name="_Ref467378499"/>
      <w:bookmarkStart w:id="120" w:name="_Ref467379225"/>
      <w:bookmarkStart w:id="121" w:name="_Ref467379195"/>
      <w:bookmarkStart w:id="122" w:name="_Toc16917"/>
      <w:bookmarkStart w:id="123" w:name="_Toc19614"/>
      <w:bookmarkStart w:id="124" w:name="_Toc279701240"/>
      <w:bookmarkStart w:id="125" w:name="_Ref467379109"/>
      <w:bookmarkStart w:id="126" w:name="_Toc487900349"/>
      <w:bookmarkStart w:id="127" w:name="_Ref467378463"/>
      <w:bookmarkStart w:id="128" w:name="_Toc28763"/>
      <w:bookmarkStart w:id="129" w:name="_Ref467378404"/>
      <w:bookmarkStart w:id="130" w:name="_Toc259093669"/>
      <w:bookmarkStart w:id="131" w:name="_Ref467379205"/>
      <w:bookmarkStart w:id="132" w:name="_Ref467379214"/>
      <w:bookmarkStart w:id="133" w:name="_Ref467379101"/>
      <w:bookmarkStart w:id="134" w:name="_Ref467379094"/>
      <w:r>
        <w:rPr>
          <w:rFonts w:hint="eastAsia" w:ascii="仿宋" w:hAnsi="仿宋" w:eastAsia="仿宋" w:cs="Times New Roman"/>
          <w:b/>
          <w:bCs/>
          <w:color w:val="auto"/>
          <w:sz w:val="24"/>
          <w:szCs w:val="24"/>
          <w:highlight w:val="none"/>
        </w:rPr>
        <w:t xml:space="preserve">2.1 </w:t>
      </w:r>
      <w:r>
        <w:rPr>
          <w:rFonts w:ascii="仿宋" w:hAnsi="仿宋" w:eastAsia="仿宋" w:cs="Times New Roman"/>
          <w:b/>
          <w:bCs/>
          <w:color w:val="auto"/>
          <w:sz w:val="24"/>
          <w:szCs w:val="24"/>
          <w:highlight w:val="none"/>
        </w:rPr>
        <w:t>定义</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本合同中的下列</w:t>
      </w:r>
      <w:r>
        <w:rPr>
          <w:rFonts w:hint="eastAsia" w:ascii="仿宋" w:hAnsi="仿宋" w:eastAsia="仿宋" w:cs="Times New Roman"/>
          <w:color w:val="auto"/>
          <w:sz w:val="24"/>
          <w:szCs w:val="24"/>
          <w:highlight w:val="none"/>
        </w:rPr>
        <w:t>词</w:t>
      </w:r>
      <w:r>
        <w:rPr>
          <w:rFonts w:ascii="仿宋" w:hAnsi="仿宋" w:eastAsia="仿宋" w:cs="Times New Roman"/>
          <w:color w:val="auto"/>
          <w:sz w:val="24"/>
          <w:szCs w:val="24"/>
          <w:highlight w:val="none"/>
        </w:rPr>
        <w:t>语应</w:t>
      </w:r>
      <w:r>
        <w:rPr>
          <w:rFonts w:hint="eastAsia" w:ascii="仿宋" w:hAnsi="仿宋" w:eastAsia="仿宋" w:cs="Times New Roman"/>
          <w:color w:val="auto"/>
          <w:sz w:val="24"/>
          <w:szCs w:val="24"/>
          <w:highlight w:val="none"/>
        </w:rPr>
        <w:t>按以下内容进行</w:t>
      </w:r>
      <w:r>
        <w:rPr>
          <w:rFonts w:ascii="仿宋" w:hAnsi="仿宋" w:eastAsia="仿宋" w:cs="Times New Roman"/>
          <w:color w:val="auto"/>
          <w:sz w:val="24"/>
          <w:szCs w:val="24"/>
          <w:highlight w:val="none"/>
        </w:rPr>
        <w:t>解释：</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.1</w:t>
      </w:r>
      <w:r>
        <w:rPr>
          <w:rFonts w:ascii="仿宋" w:hAnsi="仿宋" w:eastAsia="仿宋" w:cs="Times New Roman"/>
          <w:color w:val="auto"/>
          <w:sz w:val="24"/>
          <w:szCs w:val="24"/>
          <w:highlight w:val="none"/>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1.2 “合同价”系指根据合同约定，中标供应商在完全履行合同义务后</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采购人应支付给中标供应商的价格。</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1.3 “货物”系指</w:t>
      </w:r>
      <w:r>
        <w:rPr>
          <w:rFonts w:hint="eastAsia" w:ascii="仿宋" w:hAnsi="仿宋" w:eastAsia="仿宋" w:cs="Times New Roman"/>
          <w:color w:val="auto"/>
          <w:sz w:val="24"/>
          <w:szCs w:val="24"/>
          <w:highlight w:val="none"/>
        </w:rPr>
        <w:t>中标供应商</w:t>
      </w:r>
      <w:r>
        <w:rPr>
          <w:rFonts w:ascii="仿宋" w:hAnsi="仿宋" w:eastAsia="仿宋" w:cs="Times New Roman"/>
          <w:color w:val="auto"/>
          <w:sz w:val="24"/>
          <w:szCs w:val="24"/>
          <w:highlight w:val="none"/>
        </w:rPr>
        <w:t>根据合同约定应向采购人交付的一切</w:t>
      </w:r>
      <w:r>
        <w:rPr>
          <w:rFonts w:hint="eastAsia" w:ascii="仿宋" w:hAnsi="仿宋" w:eastAsia="仿宋" w:cs="Times New Roman"/>
          <w:color w:val="auto"/>
          <w:sz w:val="24"/>
          <w:szCs w:val="24"/>
          <w:highlight w:val="none"/>
        </w:rPr>
        <w:t>各种形态和种类的物品，包括原材料、燃料、设备、</w:t>
      </w:r>
      <w:r>
        <w:rPr>
          <w:rFonts w:ascii="仿宋" w:hAnsi="仿宋" w:eastAsia="仿宋" w:cs="Times New Roman"/>
          <w:color w:val="auto"/>
          <w:sz w:val="24"/>
          <w:szCs w:val="24"/>
          <w:highlight w:val="none"/>
        </w:rPr>
        <w:t>机械、仪表、备件</w:t>
      </w:r>
      <w:r>
        <w:rPr>
          <w:rFonts w:hint="eastAsia" w:ascii="仿宋" w:hAnsi="仿宋" w:eastAsia="仿宋" w:cs="Times New Roman"/>
          <w:color w:val="auto"/>
          <w:sz w:val="24"/>
          <w:szCs w:val="24"/>
          <w:highlight w:val="none"/>
        </w:rPr>
        <w:t>、计算机软件、产品等</w:t>
      </w:r>
      <w:r>
        <w:rPr>
          <w:rFonts w:ascii="仿宋" w:hAnsi="仿宋" w:eastAsia="仿宋" w:cs="Times New Roman"/>
          <w:color w:val="auto"/>
          <w:sz w:val="24"/>
          <w:szCs w:val="24"/>
          <w:highlight w:val="none"/>
        </w:rPr>
        <w:t>，并包括工具、手册等其他相关资料。</w:t>
      </w:r>
    </w:p>
    <w:p>
      <w:pPr>
        <w:spacing w:line="560" w:lineRule="exact"/>
        <w:ind w:firstLine="480" w:firstLineChars="200"/>
        <w:rPr>
          <w:rFonts w:ascii="仿宋" w:hAnsi="仿宋" w:eastAsia="仿宋" w:cs="Times New Roman"/>
          <w:color w:val="auto"/>
          <w:sz w:val="24"/>
          <w:szCs w:val="24"/>
          <w:highlight w:val="none"/>
        </w:rPr>
      </w:pPr>
      <w:bookmarkStart w:id="135" w:name="_Ref467378840"/>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4</w:t>
      </w:r>
      <w:r>
        <w:rPr>
          <w:rFonts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甲方</w:t>
      </w:r>
      <w:r>
        <w:rPr>
          <w:rFonts w:ascii="仿宋" w:hAnsi="仿宋" w:eastAsia="仿宋" w:cs="Times New Roman"/>
          <w:color w:val="auto"/>
          <w:sz w:val="24"/>
          <w:szCs w:val="24"/>
          <w:highlight w:val="none"/>
        </w:rPr>
        <w:t>”系指与</w:t>
      </w:r>
      <w:r>
        <w:rPr>
          <w:rFonts w:hint="eastAsia" w:ascii="仿宋" w:hAnsi="仿宋" w:eastAsia="仿宋" w:cs="Times New Roman"/>
          <w:color w:val="auto"/>
          <w:sz w:val="24"/>
          <w:szCs w:val="24"/>
          <w:highlight w:val="none"/>
        </w:rPr>
        <w:t>中标供应商</w:t>
      </w:r>
      <w:r>
        <w:rPr>
          <w:rFonts w:ascii="仿宋" w:hAnsi="仿宋" w:eastAsia="仿宋" w:cs="Times New Roman"/>
          <w:color w:val="auto"/>
          <w:sz w:val="24"/>
          <w:szCs w:val="24"/>
          <w:highlight w:val="none"/>
        </w:rPr>
        <w:t>签署合同的采购人</w:t>
      </w:r>
      <w:bookmarkEnd w:id="135"/>
      <w:r>
        <w:rPr>
          <w:rFonts w:hint="eastAsia" w:ascii="仿宋" w:hAnsi="仿宋" w:eastAsia="仿宋" w:cs="Times New Roman"/>
          <w:color w:val="auto"/>
          <w:sz w:val="24"/>
          <w:szCs w:val="24"/>
          <w:highlight w:val="none"/>
        </w:rPr>
        <w:t>；采购人委托</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rPr>
        <w:t>代表其与乙方签订合同的，采购人的授权委托书作为合同附件。</w:t>
      </w:r>
    </w:p>
    <w:p>
      <w:pPr>
        <w:spacing w:line="560" w:lineRule="exact"/>
        <w:ind w:firstLine="480" w:firstLineChars="200"/>
        <w:rPr>
          <w:rFonts w:ascii="仿宋" w:hAnsi="仿宋" w:eastAsia="仿宋" w:cs="Times New Roman"/>
          <w:color w:val="auto"/>
          <w:sz w:val="24"/>
          <w:szCs w:val="24"/>
          <w:highlight w:val="none"/>
        </w:rPr>
      </w:pPr>
      <w:bookmarkStart w:id="136" w:name="_Ref467379400"/>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5</w:t>
      </w:r>
      <w:r>
        <w:rPr>
          <w:rFonts w:ascii="仿宋" w:hAnsi="仿宋" w:eastAsia="仿宋" w:cs="Times New Roman"/>
          <w:color w:val="auto"/>
          <w:sz w:val="24"/>
          <w:szCs w:val="24"/>
          <w:highlight w:val="none"/>
        </w:rPr>
        <w:t xml:space="preserve"> “乙方”系指根据合同约定交付货物的中标供应商</w:t>
      </w:r>
      <w:bookmarkEnd w:id="136"/>
      <w:r>
        <w:rPr>
          <w:rFonts w:hint="eastAsia" w:ascii="仿宋" w:hAnsi="仿宋" w:eastAsia="仿宋" w:cs="Times New Roman"/>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Times New Roman"/>
          <w:color w:val="auto"/>
          <w:sz w:val="24"/>
          <w:szCs w:val="24"/>
          <w:highlight w:val="none"/>
        </w:rPr>
      </w:pPr>
      <w:bookmarkStart w:id="137" w:name="_Ref467379436"/>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6</w:t>
      </w:r>
      <w:r>
        <w:rPr>
          <w:rFonts w:ascii="仿宋" w:hAnsi="仿宋" w:eastAsia="仿宋" w:cs="Times New Roman"/>
          <w:color w:val="auto"/>
          <w:sz w:val="24"/>
          <w:szCs w:val="24"/>
          <w:highlight w:val="none"/>
        </w:rPr>
        <w:t xml:space="preserve"> “现场”系指合同约定货物将要运至</w:t>
      </w:r>
      <w:r>
        <w:rPr>
          <w:rFonts w:hint="eastAsia" w:ascii="仿宋" w:hAnsi="仿宋" w:eastAsia="仿宋" w:cs="Times New Roman"/>
          <w:color w:val="auto"/>
          <w:sz w:val="24"/>
          <w:szCs w:val="24"/>
          <w:highlight w:val="none"/>
        </w:rPr>
        <w:t>或者</w:t>
      </w:r>
      <w:r>
        <w:rPr>
          <w:rFonts w:ascii="仿宋" w:hAnsi="仿宋" w:eastAsia="仿宋" w:cs="Times New Roman"/>
          <w:color w:val="auto"/>
          <w:sz w:val="24"/>
          <w:szCs w:val="24"/>
          <w:highlight w:val="none"/>
        </w:rPr>
        <w:t>安装的地点。</w:t>
      </w:r>
      <w:bookmarkEnd w:id="137"/>
    </w:p>
    <w:p>
      <w:pPr>
        <w:spacing w:line="360" w:lineRule="auto"/>
        <w:ind w:firstLine="482" w:firstLineChars="200"/>
        <w:rPr>
          <w:rFonts w:ascii="仿宋" w:hAnsi="仿宋" w:eastAsia="仿宋" w:cs="Times New Roman"/>
          <w:b/>
          <w:bCs/>
          <w:color w:val="auto"/>
          <w:sz w:val="24"/>
          <w:szCs w:val="24"/>
          <w:highlight w:val="none"/>
        </w:rPr>
      </w:pPr>
      <w:bookmarkStart w:id="138" w:name="_Toc32504"/>
      <w:bookmarkStart w:id="139" w:name="_Toc487900350"/>
      <w:bookmarkStart w:id="140" w:name="_Toc259093670"/>
      <w:bookmarkStart w:id="141" w:name="_Toc13336"/>
      <w:bookmarkStart w:id="142" w:name="_Toc27635"/>
      <w:bookmarkStart w:id="143" w:name="_Toc279701241"/>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2</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技术规范</w:t>
      </w:r>
      <w:bookmarkEnd w:id="138"/>
      <w:bookmarkEnd w:id="139"/>
      <w:bookmarkEnd w:id="140"/>
      <w:bookmarkEnd w:id="141"/>
      <w:bookmarkEnd w:id="142"/>
      <w:bookmarkEnd w:id="143"/>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货物所应遵守的技术规范应与采购文件规定的技术规范和技术规范附件(如果有的话)及其技术规范偏差表(如果被甲方接受的话)相一致</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如果采购文件中没有技术规范的相应说明，那么应以国家有关部门最新颁布的相应标准</w:t>
      </w:r>
      <w:r>
        <w:rPr>
          <w:rFonts w:hint="eastAsia" w:ascii="仿宋" w:hAnsi="仿宋" w:eastAsia="仿宋" w:cs="Times New Roman"/>
          <w:color w:val="auto"/>
          <w:sz w:val="24"/>
          <w:szCs w:val="24"/>
          <w:highlight w:val="none"/>
        </w:rPr>
        <w:t>和</w:t>
      </w:r>
      <w:r>
        <w:rPr>
          <w:rFonts w:ascii="仿宋" w:hAnsi="仿宋" w:eastAsia="仿宋" w:cs="Times New Roman"/>
          <w:color w:val="auto"/>
          <w:sz w:val="24"/>
          <w:szCs w:val="24"/>
          <w:highlight w:val="none"/>
        </w:rPr>
        <w:t>规范为准。</w:t>
      </w:r>
    </w:p>
    <w:p>
      <w:pPr>
        <w:spacing w:line="360" w:lineRule="auto"/>
        <w:ind w:firstLine="482" w:firstLineChars="200"/>
        <w:rPr>
          <w:rFonts w:ascii="仿宋" w:hAnsi="仿宋" w:eastAsia="仿宋" w:cs="Times New Roman"/>
          <w:b/>
          <w:bCs/>
          <w:color w:val="auto"/>
          <w:sz w:val="24"/>
          <w:szCs w:val="24"/>
          <w:highlight w:val="none"/>
        </w:rPr>
      </w:pPr>
      <w:bookmarkStart w:id="144" w:name="_Toc259093671"/>
      <w:bookmarkStart w:id="145" w:name="_Toc9829"/>
      <w:bookmarkStart w:id="146" w:name="_Toc279701242"/>
      <w:bookmarkStart w:id="147" w:name="_Toc27853"/>
      <w:bookmarkStart w:id="148" w:name="_Toc487900351"/>
      <w:bookmarkStart w:id="149" w:name="_Toc31634"/>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3</w:t>
      </w:r>
      <w:r>
        <w:rPr>
          <w:rFonts w:hint="eastAsia" w:ascii="仿宋" w:hAnsi="仿宋" w:eastAsia="仿宋" w:cs="Times New Roman"/>
          <w:b/>
          <w:bCs/>
          <w:color w:val="auto"/>
          <w:sz w:val="24"/>
          <w:szCs w:val="24"/>
          <w:highlight w:val="none"/>
        </w:rPr>
        <w:t xml:space="preserve"> </w:t>
      </w:r>
      <w:r>
        <w:rPr>
          <w:rFonts w:ascii="仿宋" w:hAnsi="仿宋" w:eastAsia="仿宋" w:cs="Times New Roman"/>
          <w:b/>
          <w:bCs/>
          <w:color w:val="auto"/>
          <w:sz w:val="24"/>
          <w:szCs w:val="24"/>
          <w:highlight w:val="none"/>
        </w:rPr>
        <w:t>知识产权</w:t>
      </w:r>
      <w:bookmarkEnd w:id="144"/>
      <w:bookmarkEnd w:id="145"/>
      <w:bookmarkEnd w:id="146"/>
      <w:bookmarkEnd w:id="147"/>
      <w:bookmarkEnd w:id="148"/>
      <w:bookmarkEnd w:id="149"/>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2.3.1 乙</w:t>
      </w:r>
      <w:r>
        <w:rPr>
          <w:rFonts w:ascii="仿宋" w:hAnsi="仿宋" w:eastAsia="仿宋" w:cs="Times New Roman"/>
          <w:color w:val="auto"/>
          <w:sz w:val="24"/>
          <w:szCs w:val="24"/>
          <w:highlight w:val="none"/>
        </w:rPr>
        <w:t>方应保证甲方在使用该货物或其任何一部分时不受任何第三方提出的侵犯其著作权、商标权、专利权等知识产权方面的起诉</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如果任何第三方提出侵权</w:t>
      </w:r>
      <w:r>
        <w:rPr>
          <w:rFonts w:hint="eastAsia" w:ascii="仿宋" w:hAnsi="仿宋" w:eastAsia="仿宋" w:cs="Times New Roman"/>
          <w:color w:val="auto"/>
          <w:sz w:val="24"/>
          <w:szCs w:val="24"/>
          <w:highlight w:val="none"/>
        </w:rPr>
        <w:t>指控</w:t>
      </w:r>
      <w:r>
        <w:rPr>
          <w:rFonts w:ascii="仿宋" w:hAnsi="仿宋" w:eastAsia="仿宋" w:cs="Times New Roman"/>
          <w:color w:val="auto"/>
          <w:sz w:val="24"/>
          <w:szCs w:val="24"/>
          <w:highlight w:val="none"/>
        </w:rPr>
        <w:t>，那么乙方须与该第三方交涉并承担由此发生的一切责任、费用和赔偿</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2.3.2具有知识产权的计算机软件等货物的知识产权归属，</w:t>
      </w: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50" w:name="_Toc4194"/>
      <w:bookmarkStart w:id="151" w:name="_Toc29149"/>
      <w:bookmarkStart w:id="152" w:name="_Toc11932"/>
      <w:r>
        <w:rPr>
          <w:rFonts w:hint="eastAsia" w:ascii="仿宋" w:hAnsi="仿宋" w:eastAsia="仿宋" w:cs="Times New Roman"/>
          <w:b/>
          <w:bCs/>
          <w:color w:val="auto"/>
          <w:sz w:val="24"/>
          <w:szCs w:val="24"/>
          <w:highlight w:val="none"/>
        </w:rPr>
        <w:t>2.4 包装和装运</w:t>
      </w:r>
      <w:bookmarkEnd w:id="150"/>
      <w:bookmarkEnd w:id="151"/>
      <w:bookmarkEnd w:id="152"/>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2.4.1除</w:t>
      </w:r>
      <w:r>
        <w:rPr>
          <w:rFonts w:ascii="仿宋" w:hAnsi="仿宋" w:eastAsia="仿宋" w:cs="Times New Roman"/>
          <w:b/>
          <w:i/>
          <w:color w:val="auto"/>
          <w:sz w:val="24"/>
          <w:szCs w:val="24"/>
          <w:highlight w:val="none"/>
          <w:u w:val="single"/>
        </w:rPr>
        <w:t>合同专用条款</w:t>
      </w:r>
      <w:r>
        <w:rPr>
          <w:rFonts w:hint="eastAsia" w:ascii="仿宋" w:hAnsi="仿宋" w:eastAsia="仿宋" w:cs="Times New Roman"/>
          <w:color w:val="auto"/>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2.4.2 装运货物的要求和通知，详见</w:t>
      </w:r>
      <w:r>
        <w:rPr>
          <w:rFonts w:ascii="仿宋" w:hAnsi="仿宋" w:eastAsia="仿宋" w:cs="Times New Roman"/>
          <w:b/>
          <w:i/>
          <w:color w:val="auto"/>
          <w:sz w:val="24"/>
          <w:szCs w:val="24"/>
          <w:highlight w:val="none"/>
          <w:u w:val="single"/>
        </w:rPr>
        <w:t>合同专用条款</w:t>
      </w:r>
      <w:r>
        <w:rPr>
          <w:rFonts w:hint="eastAsia"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53" w:name="_Ref467378591"/>
      <w:bookmarkStart w:id="154" w:name="_Toc279701245"/>
      <w:bookmarkStart w:id="155" w:name="_Ref467378541"/>
      <w:bookmarkStart w:id="156" w:name="_Toc487900354"/>
      <w:bookmarkStart w:id="157" w:name="_Toc259093674"/>
      <w:bookmarkStart w:id="158" w:name="_Ref467379527"/>
      <w:bookmarkStart w:id="159" w:name="_Ref467379542"/>
      <w:bookmarkStart w:id="160" w:name="_Ref467379536"/>
      <w:bookmarkStart w:id="161" w:name="_Toc26182"/>
      <w:bookmarkStart w:id="162" w:name="_Toc19074"/>
      <w:bookmarkStart w:id="163" w:name="_Toc30272"/>
      <w:r>
        <w:rPr>
          <w:rFonts w:hint="eastAsia" w:ascii="仿宋" w:hAnsi="仿宋" w:eastAsia="仿宋" w:cs="Times New Roman"/>
          <w:b/>
          <w:bCs/>
          <w:color w:val="auto"/>
          <w:sz w:val="24"/>
          <w:szCs w:val="24"/>
          <w:highlight w:val="none"/>
        </w:rPr>
        <w:t>2.</w:t>
      </w:r>
      <w:bookmarkEnd w:id="153"/>
      <w:bookmarkEnd w:id="154"/>
      <w:bookmarkEnd w:id="155"/>
      <w:bookmarkEnd w:id="156"/>
      <w:bookmarkEnd w:id="157"/>
      <w:bookmarkEnd w:id="158"/>
      <w:bookmarkEnd w:id="159"/>
      <w:bookmarkEnd w:id="160"/>
      <w:r>
        <w:rPr>
          <w:rFonts w:hint="eastAsia" w:ascii="仿宋" w:hAnsi="仿宋" w:eastAsia="仿宋" w:cs="Times New Roman"/>
          <w:b/>
          <w:bCs/>
          <w:color w:val="auto"/>
          <w:sz w:val="24"/>
          <w:szCs w:val="24"/>
          <w:highlight w:val="none"/>
        </w:rPr>
        <w:t>5 履约检查和问题反馈</w:t>
      </w:r>
      <w:bookmarkEnd w:id="161"/>
      <w:bookmarkEnd w:id="162"/>
      <w:bookmarkEnd w:id="163"/>
    </w:p>
    <w:p>
      <w:pPr>
        <w:spacing w:line="560" w:lineRule="exact"/>
        <w:ind w:firstLine="480" w:firstLineChars="200"/>
        <w:rPr>
          <w:rFonts w:ascii="仿宋" w:hAnsi="仿宋" w:eastAsia="仿宋" w:cs="Times New Roman"/>
          <w:color w:val="auto"/>
          <w:sz w:val="24"/>
          <w:szCs w:val="24"/>
          <w:highlight w:val="none"/>
        </w:rPr>
      </w:pPr>
      <w:bookmarkStart w:id="164" w:name="_Ref467379657"/>
      <w:r>
        <w:rPr>
          <w:rFonts w:hint="eastAsia" w:ascii="仿宋" w:hAnsi="仿宋" w:eastAsia="仿宋" w:cs="Times New Roman"/>
          <w:color w:val="auto"/>
          <w:sz w:val="24"/>
          <w:szCs w:val="24"/>
          <w:highlight w:val="none"/>
        </w:rPr>
        <w:t>2.5</w:t>
      </w:r>
      <w:r>
        <w:rPr>
          <w:rFonts w:ascii="仿宋" w:hAnsi="仿宋" w:eastAsia="仿宋" w:cs="Times New Roman"/>
          <w:color w:val="auto"/>
          <w:sz w:val="24"/>
          <w:szCs w:val="24"/>
          <w:highlight w:val="none"/>
        </w:rPr>
        <w:t>.1</w:t>
      </w:r>
      <w:bookmarkEnd w:id="164"/>
      <w:bookmarkStart w:id="165" w:name="_Toc186431854"/>
      <w:bookmarkStart w:id="166" w:name="_Ref467379807"/>
      <w:bookmarkStart w:id="167" w:name="_Toc279701247"/>
      <w:bookmarkStart w:id="168" w:name="_Ref467379793"/>
      <w:bookmarkStart w:id="169" w:name="_Toc487900357"/>
      <w:bookmarkStart w:id="170" w:name="_Toc259093676"/>
      <w:r>
        <w:rPr>
          <w:rFonts w:ascii="仿宋" w:hAnsi="仿宋" w:eastAsia="仿宋" w:cs="Times New Roman"/>
          <w:color w:val="auto"/>
          <w:sz w:val="24"/>
          <w:szCs w:val="24"/>
          <w:highlight w:val="none"/>
        </w:rPr>
        <w:t>甲方</w:t>
      </w:r>
      <w:r>
        <w:rPr>
          <w:rFonts w:hint="eastAsia" w:ascii="仿宋" w:hAnsi="仿宋" w:eastAsia="仿宋" w:cs="Times New Roman"/>
          <w:color w:val="auto"/>
          <w:sz w:val="24"/>
          <w:szCs w:val="24"/>
          <w:highlight w:val="none"/>
        </w:rPr>
        <w:t>有权</w:t>
      </w:r>
      <w:r>
        <w:rPr>
          <w:rFonts w:ascii="仿宋" w:hAnsi="仿宋" w:eastAsia="仿宋" w:cs="Times New Roman"/>
          <w:color w:val="auto"/>
          <w:sz w:val="24"/>
          <w:szCs w:val="24"/>
          <w:highlight w:val="none"/>
        </w:rPr>
        <w:t>在其认为必要时</w:t>
      </w:r>
      <w:r>
        <w:rPr>
          <w:rFonts w:hint="eastAsia" w:ascii="仿宋" w:hAnsi="仿宋" w:eastAsia="仿宋" w:cs="Times New Roman"/>
          <w:color w:val="auto"/>
          <w:sz w:val="24"/>
          <w:szCs w:val="24"/>
          <w:highlight w:val="none"/>
        </w:rPr>
        <w:t>，对乙方是否能够按照合同约定交付货物进行履约检查，以确保乙方所交付的货物能够依约满足甲方之项目需求，但不得因履约检查妨碍乙方的正常工作，乙方应予积极配合；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2.5.2 合同履行期间，甲方有权将履行过程中出现的问题反馈给乙方，双方当事人应以书面形式约定需要完善和改进的内容</w:t>
      </w:r>
      <w:bookmarkEnd w:id="165"/>
      <w:bookmarkStart w:id="171" w:name="_Toc186431855"/>
      <w:r>
        <w:rPr>
          <w:rFonts w:hint="eastAsia" w:ascii="仿宋" w:hAnsi="仿宋" w:eastAsia="仿宋" w:cs="Times New Roman"/>
          <w:color w:val="auto"/>
          <w:sz w:val="24"/>
          <w:szCs w:val="24"/>
          <w:highlight w:val="none"/>
        </w:rPr>
        <w:t>。</w:t>
      </w:r>
    </w:p>
    <w:bookmarkEnd w:id="171"/>
    <w:p>
      <w:pPr>
        <w:spacing w:line="360" w:lineRule="auto"/>
        <w:ind w:firstLine="482" w:firstLineChars="200"/>
        <w:rPr>
          <w:rFonts w:ascii="仿宋" w:hAnsi="仿宋" w:eastAsia="仿宋" w:cs="Times New Roman"/>
          <w:b/>
          <w:bCs/>
          <w:color w:val="auto"/>
          <w:sz w:val="24"/>
          <w:szCs w:val="24"/>
          <w:highlight w:val="none"/>
        </w:rPr>
      </w:pPr>
      <w:bookmarkStart w:id="172" w:name="_Toc19219"/>
      <w:bookmarkStart w:id="173" w:name="_Toc7836"/>
      <w:bookmarkStart w:id="174" w:name="_Toc28451"/>
      <w:r>
        <w:rPr>
          <w:rFonts w:hint="eastAsia" w:ascii="仿宋" w:hAnsi="仿宋" w:eastAsia="仿宋" w:cs="Times New Roman"/>
          <w:b/>
          <w:bCs/>
          <w:color w:val="auto"/>
          <w:sz w:val="24"/>
          <w:szCs w:val="24"/>
          <w:highlight w:val="none"/>
        </w:rPr>
        <w:t xml:space="preserve">2.6 </w:t>
      </w:r>
      <w:r>
        <w:rPr>
          <w:rFonts w:ascii="仿宋" w:hAnsi="仿宋" w:eastAsia="仿宋" w:cs="Times New Roman"/>
          <w:b/>
          <w:bCs/>
          <w:color w:val="auto"/>
          <w:sz w:val="24"/>
          <w:szCs w:val="24"/>
          <w:highlight w:val="none"/>
        </w:rPr>
        <w:t>结算方式和付款条件</w:t>
      </w:r>
      <w:bookmarkEnd w:id="166"/>
      <w:bookmarkEnd w:id="167"/>
      <w:bookmarkEnd w:id="168"/>
      <w:bookmarkEnd w:id="169"/>
      <w:bookmarkEnd w:id="170"/>
      <w:bookmarkEnd w:id="172"/>
      <w:bookmarkEnd w:id="173"/>
      <w:bookmarkEnd w:id="174"/>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75" w:name="_Ref467379863"/>
      <w:bookmarkStart w:id="176" w:name="_Toc279701248"/>
      <w:bookmarkStart w:id="177" w:name="_Toc487900358"/>
      <w:bookmarkStart w:id="178" w:name="_Ref467379852"/>
      <w:bookmarkStart w:id="179" w:name="_Toc259093677"/>
      <w:bookmarkStart w:id="180" w:name="_Ref467379923"/>
      <w:bookmarkStart w:id="181" w:name="_Toc3225"/>
      <w:bookmarkStart w:id="182" w:name="_Toc16110"/>
      <w:bookmarkStart w:id="183" w:name="_Toc774"/>
      <w:r>
        <w:rPr>
          <w:rFonts w:hint="eastAsia" w:ascii="仿宋" w:hAnsi="仿宋" w:eastAsia="仿宋" w:cs="Times New Roman"/>
          <w:b/>
          <w:bCs/>
          <w:color w:val="auto"/>
          <w:sz w:val="24"/>
          <w:szCs w:val="24"/>
          <w:highlight w:val="none"/>
        </w:rPr>
        <w:t xml:space="preserve">2.7 </w:t>
      </w:r>
      <w:r>
        <w:rPr>
          <w:rFonts w:ascii="仿宋" w:hAnsi="仿宋" w:eastAsia="仿宋" w:cs="Times New Roman"/>
          <w:b/>
          <w:bCs/>
          <w:color w:val="auto"/>
          <w:sz w:val="24"/>
          <w:szCs w:val="24"/>
          <w:highlight w:val="none"/>
        </w:rPr>
        <w:t>技术资料</w:t>
      </w:r>
      <w:bookmarkEnd w:id="175"/>
      <w:bookmarkEnd w:id="176"/>
      <w:bookmarkEnd w:id="177"/>
      <w:bookmarkEnd w:id="178"/>
      <w:bookmarkEnd w:id="179"/>
      <w:bookmarkEnd w:id="180"/>
      <w:r>
        <w:rPr>
          <w:rFonts w:ascii="仿宋" w:hAnsi="仿宋" w:eastAsia="仿宋" w:cs="Times New Roman"/>
          <w:b/>
          <w:bCs/>
          <w:color w:val="auto"/>
          <w:sz w:val="24"/>
          <w:szCs w:val="24"/>
          <w:highlight w:val="none"/>
        </w:rPr>
        <w:t>和保密义务</w:t>
      </w:r>
      <w:bookmarkEnd w:id="181"/>
      <w:bookmarkEnd w:id="182"/>
      <w:bookmarkEnd w:id="183"/>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2.7.2 乙方有义务妥善保管和保护由甲方提供的前款信息和资料等；</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2.7</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s="Times New Roman"/>
          <w:color w:val="auto"/>
          <w:sz w:val="24"/>
          <w:szCs w:val="24"/>
          <w:highlight w:val="none"/>
        </w:rPr>
        <w:t>技术情报</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技术资料</w:t>
      </w:r>
      <w:r>
        <w:rPr>
          <w:rFonts w:hint="eastAsia" w:ascii="仿宋" w:hAnsi="仿宋" w:eastAsia="仿宋" w:cs="Times New Roman"/>
          <w:color w:val="auto"/>
          <w:sz w:val="24"/>
          <w:szCs w:val="24"/>
          <w:highlight w:val="none"/>
        </w:rPr>
        <w:t>、商业秘密和商业信息等，并采取一切合理和必要措施和方式防止任何第三方接触到对方当事人的上述保密信息和资料。</w:t>
      </w:r>
      <w:bookmarkStart w:id="184" w:name="_Toc7860"/>
    </w:p>
    <w:p>
      <w:pPr>
        <w:spacing w:line="360" w:lineRule="auto"/>
        <w:ind w:firstLine="482" w:firstLineChars="200"/>
        <w:rPr>
          <w:rFonts w:ascii="仿宋" w:hAnsi="仿宋" w:eastAsia="仿宋" w:cs="Times New Roman"/>
          <w:b/>
          <w:bCs/>
          <w:color w:val="auto"/>
          <w:sz w:val="24"/>
          <w:szCs w:val="24"/>
          <w:highlight w:val="none"/>
        </w:rPr>
      </w:pPr>
    </w:p>
    <w:p>
      <w:pPr>
        <w:spacing w:line="360" w:lineRule="auto"/>
        <w:ind w:firstLine="482" w:firstLineChars="200"/>
        <w:rPr>
          <w:rFonts w:ascii="仿宋" w:hAnsi="仿宋" w:eastAsia="仿宋" w:cs="Times New Roman"/>
          <w:b/>
          <w:bCs/>
          <w:color w:val="auto"/>
          <w:sz w:val="24"/>
          <w:szCs w:val="24"/>
          <w:highlight w:val="none"/>
        </w:rPr>
      </w:pPr>
      <w:r>
        <w:rPr>
          <w:rFonts w:ascii="仿宋" w:hAnsi="仿宋" w:eastAsia="仿宋" w:cs="Times New Roman"/>
          <w:b/>
          <w:bCs/>
          <w:color w:val="auto"/>
          <w:sz w:val="24"/>
          <w:szCs w:val="24"/>
          <w:highlight w:val="none"/>
        </w:rPr>
        <w:t>2.8 质量保证</w:t>
      </w:r>
      <w:bookmarkEnd w:id="184"/>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2.8.1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2.8.2 乙方应保证履行合同的人员数量和素质、软件和硬件设备的配置、场地、环境和设施等满足全面履行合同的要求，并应接受甲方的监督检查。</w:t>
      </w:r>
    </w:p>
    <w:p>
      <w:pPr>
        <w:spacing w:line="360" w:lineRule="auto"/>
        <w:ind w:firstLine="482" w:firstLineChars="200"/>
        <w:rPr>
          <w:rFonts w:ascii="仿宋" w:hAnsi="仿宋" w:eastAsia="仿宋" w:cs="Times New Roman"/>
          <w:b/>
          <w:bCs/>
          <w:color w:val="auto"/>
          <w:sz w:val="24"/>
          <w:szCs w:val="24"/>
          <w:highlight w:val="none"/>
        </w:rPr>
      </w:pPr>
      <w:bookmarkStart w:id="185" w:name="_Toc17244"/>
      <w:bookmarkStart w:id="186" w:name="_Toc279701252"/>
      <w:bookmarkStart w:id="187" w:name="_Toc487900362"/>
      <w:bookmarkStart w:id="188" w:name="_Toc259093681"/>
      <w:r>
        <w:rPr>
          <w:rFonts w:ascii="仿宋" w:hAnsi="仿宋" w:eastAsia="仿宋" w:cs="Times New Roman"/>
          <w:b/>
          <w:bCs/>
          <w:color w:val="auto"/>
          <w:sz w:val="24"/>
          <w:szCs w:val="24"/>
          <w:highlight w:val="none"/>
        </w:rPr>
        <w:t>2.9 货物的风险负担</w:t>
      </w:r>
      <w:bookmarkEnd w:id="185"/>
    </w:p>
    <w:p>
      <w:pPr>
        <w:spacing w:line="560" w:lineRule="exact"/>
        <w:ind w:firstLine="480" w:firstLineChars="200"/>
        <w:rPr>
          <w:rFonts w:ascii="仿宋" w:hAnsi="仿宋" w:eastAsia="仿宋" w:cs="Times New Roman"/>
          <w:b/>
          <w:color w:val="auto"/>
          <w:sz w:val="24"/>
          <w:szCs w:val="24"/>
          <w:highlight w:val="none"/>
        </w:rPr>
      </w:pPr>
      <w:r>
        <w:rPr>
          <w:rFonts w:hint="eastAsia" w:ascii="仿宋" w:hAnsi="仿宋" w:eastAsia="仿宋" w:cs="Times New Roman"/>
          <w:color w:val="auto"/>
          <w:sz w:val="24"/>
          <w:szCs w:val="24"/>
          <w:highlight w:val="none"/>
        </w:rPr>
        <w:t>货物或者在途货物或者交付给第一承运人后的货物毁损、灭失的风险负担</w:t>
      </w:r>
      <w:r>
        <w:rPr>
          <w:rFonts w:ascii="仿宋" w:hAnsi="仿宋" w:eastAsia="仿宋" w:cs="Times New Roman"/>
          <w:color w:val="auto"/>
          <w:sz w:val="24"/>
          <w:szCs w:val="24"/>
          <w:highlight w:val="none"/>
        </w:rPr>
        <w:t>详见</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189" w:name="_Toc14055"/>
      <w:r>
        <w:rPr>
          <w:rFonts w:ascii="仿宋" w:hAnsi="仿宋" w:eastAsia="仿宋" w:cs="Times New Roman"/>
          <w:b/>
          <w:bCs/>
          <w:color w:val="auto"/>
          <w:sz w:val="24"/>
          <w:szCs w:val="24"/>
          <w:highlight w:val="none"/>
        </w:rPr>
        <w:t>2.10 延迟交货</w:t>
      </w:r>
      <w:bookmarkEnd w:id="186"/>
      <w:bookmarkEnd w:id="187"/>
      <w:bookmarkEnd w:id="188"/>
      <w:bookmarkEnd w:id="189"/>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在合同履行过程中，如果乙方遇到不能按时交付货物的情况，应及时以书面形式将不能按时</w:t>
      </w:r>
      <w:r>
        <w:rPr>
          <w:rFonts w:hint="eastAsia" w:ascii="仿宋" w:hAnsi="仿宋" w:eastAsia="仿宋" w:cs="Times New Roman"/>
          <w:color w:val="auto"/>
          <w:sz w:val="24"/>
          <w:szCs w:val="24"/>
          <w:highlight w:val="none"/>
        </w:rPr>
        <w:t>交付货物</w:t>
      </w:r>
      <w:r>
        <w:rPr>
          <w:rFonts w:ascii="仿宋" w:hAnsi="仿宋" w:eastAsia="仿宋" w:cs="Times New Roman"/>
          <w:color w:val="auto"/>
          <w:sz w:val="24"/>
          <w:szCs w:val="24"/>
          <w:highlight w:val="none"/>
        </w:rPr>
        <w:t>的理由、预期延误时间通知甲方</w:t>
      </w:r>
      <w:r>
        <w:rPr>
          <w:rFonts w:hint="eastAsia" w:ascii="仿宋" w:hAnsi="仿宋" w:eastAsia="仿宋" w:cs="Times New Roman"/>
          <w:color w:val="auto"/>
          <w:sz w:val="24"/>
          <w:szCs w:val="24"/>
          <w:highlight w:val="none"/>
        </w:rPr>
        <w:t>；甲</w:t>
      </w:r>
      <w:r>
        <w:rPr>
          <w:rFonts w:ascii="仿宋" w:hAnsi="仿宋" w:eastAsia="仿宋" w:cs="Times New Roman"/>
          <w:color w:val="auto"/>
          <w:sz w:val="24"/>
          <w:szCs w:val="24"/>
          <w:highlight w:val="none"/>
        </w:rPr>
        <w:t>方收到乙方通知后，认为其理由正当的，可以书面形式酌情同意乙方可以延长交货的具体时间。</w:t>
      </w:r>
    </w:p>
    <w:p>
      <w:pPr>
        <w:spacing w:line="360" w:lineRule="auto"/>
        <w:ind w:firstLine="482" w:firstLineChars="200"/>
        <w:rPr>
          <w:rFonts w:ascii="仿宋" w:hAnsi="仿宋" w:eastAsia="仿宋" w:cs="Times New Roman"/>
          <w:b/>
          <w:bCs/>
          <w:color w:val="auto"/>
          <w:sz w:val="24"/>
          <w:szCs w:val="24"/>
          <w:highlight w:val="none"/>
        </w:rPr>
      </w:pPr>
      <w:bookmarkStart w:id="190" w:name="_Toc7502"/>
      <w:r>
        <w:rPr>
          <w:rFonts w:ascii="仿宋" w:hAnsi="仿宋" w:eastAsia="仿宋" w:cs="Times New Roman"/>
          <w:b/>
          <w:bCs/>
          <w:color w:val="auto"/>
          <w:sz w:val="24"/>
          <w:szCs w:val="24"/>
          <w:highlight w:val="none"/>
        </w:rPr>
        <w:t>2.11 合同变更</w:t>
      </w:r>
      <w:bookmarkEnd w:id="190"/>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2.11.2 合同继续履行将损害国家利益和社会公共利益的，双方当事人应当以书面形式变更合同。有过错的一方应当承担赔偿责任，双方当事人都有过错的，各自承担相应的责任。</w:t>
      </w:r>
      <w:bookmarkStart w:id="191" w:name="_Toc259093688"/>
      <w:bookmarkStart w:id="192" w:name="_Toc487900369"/>
      <w:bookmarkStart w:id="193" w:name="_Toc279701259"/>
    </w:p>
    <w:p>
      <w:pPr>
        <w:spacing w:line="360" w:lineRule="auto"/>
        <w:ind w:firstLine="482" w:firstLineChars="200"/>
        <w:rPr>
          <w:rFonts w:ascii="仿宋" w:hAnsi="仿宋" w:eastAsia="仿宋" w:cs="Times New Roman"/>
          <w:b/>
          <w:bCs/>
          <w:color w:val="auto"/>
          <w:sz w:val="24"/>
          <w:szCs w:val="24"/>
          <w:highlight w:val="none"/>
        </w:rPr>
      </w:pPr>
      <w:bookmarkStart w:id="194" w:name="_Toc10366"/>
      <w:bookmarkStart w:id="195" w:name="_Toc22955"/>
      <w:bookmarkStart w:id="196" w:name="_Toc15237"/>
      <w:r>
        <w:rPr>
          <w:rFonts w:hint="eastAsia" w:ascii="仿宋" w:hAnsi="仿宋" w:eastAsia="仿宋" w:cs="Times New Roman"/>
          <w:b/>
          <w:bCs/>
          <w:color w:val="auto"/>
          <w:sz w:val="24"/>
          <w:szCs w:val="24"/>
          <w:highlight w:val="none"/>
        </w:rPr>
        <w:t xml:space="preserve">2.12 </w:t>
      </w:r>
      <w:r>
        <w:rPr>
          <w:rFonts w:ascii="仿宋" w:hAnsi="仿宋" w:eastAsia="仿宋" w:cs="Times New Roman"/>
          <w:b/>
          <w:bCs/>
          <w:color w:val="auto"/>
          <w:sz w:val="24"/>
          <w:szCs w:val="24"/>
          <w:highlight w:val="none"/>
        </w:rPr>
        <w:t>合同转让</w:t>
      </w:r>
      <w:bookmarkEnd w:id="191"/>
      <w:bookmarkEnd w:id="192"/>
      <w:bookmarkEnd w:id="193"/>
      <w:r>
        <w:rPr>
          <w:rFonts w:ascii="仿宋" w:hAnsi="仿宋" w:eastAsia="仿宋" w:cs="Times New Roman"/>
          <w:b/>
          <w:bCs/>
          <w:color w:val="auto"/>
          <w:sz w:val="24"/>
          <w:szCs w:val="24"/>
          <w:highlight w:val="none"/>
        </w:rPr>
        <w:t>和分包</w:t>
      </w:r>
      <w:bookmarkEnd w:id="194"/>
      <w:bookmarkEnd w:id="195"/>
      <w:bookmarkEnd w:id="196"/>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合同的权利义务依法不</w:t>
      </w:r>
      <w:r>
        <w:rPr>
          <w:rFonts w:hint="eastAsia" w:ascii="仿宋" w:hAnsi="仿宋" w:eastAsia="仿宋" w:cs="Times New Roman"/>
          <w:color w:val="auto"/>
          <w:sz w:val="24"/>
          <w:szCs w:val="24"/>
          <w:highlight w:val="none"/>
        </w:rPr>
        <w:t>得</w:t>
      </w:r>
      <w:r>
        <w:rPr>
          <w:rFonts w:ascii="仿宋" w:hAnsi="仿宋" w:eastAsia="仿宋" w:cs="Times New Roman"/>
          <w:color w:val="auto"/>
          <w:sz w:val="24"/>
          <w:szCs w:val="24"/>
          <w:highlight w:val="none"/>
        </w:rPr>
        <w:t>转让</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但经甲方</w:t>
      </w:r>
      <w:r>
        <w:rPr>
          <w:rFonts w:hint="eastAsia" w:ascii="仿宋" w:hAnsi="仿宋" w:eastAsia="仿宋" w:cs="Times New Roman"/>
          <w:color w:val="auto"/>
          <w:sz w:val="24"/>
          <w:szCs w:val="24"/>
          <w:highlight w:val="none"/>
        </w:rPr>
        <w:t>同意，乙方可以依法采取分包方式履行合同，即：依法可以</w:t>
      </w:r>
      <w:r>
        <w:rPr>
          <w:rFonts w:ascii="仿宋" w:hAnsi="仿宋" w:eastAsia="仿宋" w:cs="Times New Roman"/>
          <w:color w:val="auto"/>
          <w:sz w:val="24"/>
          <w:szCs w:val="24"/>
          <w:highlight w:val="none"/>
        </w:rPr>
        <w:t>将合同项下的部分非主体、非关键性工作分包给他人完成</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接受分包的人应当具备相应的资格条件，并不得再次分包</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且乙方应就分包项目向甲方负责</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并</w:t>
      </w:r>
      <w:r>
        <w:rPr>
          <w:rFonts w:hint="eastAsia" w:ascii="仿宋" w:hAnsi="仿宋" w:eastAsia="仿宋" w:cs="Times New Roman"/>
          <w:color w:val="auto"/>
          <w:sz w:val="24"/>
          <w:szCs w:val="24"/>
          <w:highlight w:val="none"/>
        </w:rPr>
        <w:t>与分包供应商就分包项目向甲方承担连带责任。</w:t>
      </w:r>
    </w:p>
    <w:p>
      <w:pPr>
        <w:spacing w:line="560" w:lineRule="exact"/>
        <w:ind w:firstLine="482" w:firstLineChars="200"/>
        <w:rPr>
          <w:rFonts w:ascii="仿宋" w:hAnsi="仿宋" w:eastAsia="仿宋" w:cs="Times New Roman"/>
          <w:b/>
          <w:bCs/>
          <w:color w:val="auto"/>
          <w:sz w:val="24"/>
          <w:szCs w:val="24"/>
          <w:highlight w:val="none"/>
        </w:rPr>
      </w:pPr>
      <w:bookmarkStart w:id="197" w:name="_Toc14066"/>
      <w:bookmarkStart w:id="198" w:name="_Toc13566"/>
      <w:bookmarkStart w:id="199" w:name="_Toc16508"/>
      <w:r>
        <w:rPr>
          <w:rFonts w:hint="eastAsia" w:ascii="仿宋" w:hAnsi="仿宋" w:eastAsia="仿宋" w:cs="Times New Roman"/>
          <w:b/>
          <w:bCs/>
          <w:color w:val="auto"/>
          <w:sz w:val="24"/>
          <w:szCs w:val="24"/>
          <w:highlight w:val="none"/>
        </w:rPr>
        <w:t>2.13</w:t>
      </w:r>
      <w:r>
        <w:rPr>
          <w:rFonts w:ascii="仿宋" w:hAnsi="仿宋" w:eastAsia="仿宋" w:cs="Times New Roman"/>
          <w:b/>
          <w:bCs/>
          <w:color w:val="auto"/>
          <w:sz w:val="24"/>
          <w:szCs w:val="24"/>
          <w:highlight w:val="none"/>
        </w:rPr>
        <w:t xml:space="preserve"> 不可抗力</w:t>
      </w:r>
      <w:bookmarkEnd w:id="197"/>
      <w:bookmarkEnd w:id="198"/>
      <w:bookmarkEnd w:id="199"/>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w:t>
      </w:r>
      <w:r>
        <w:rPr>
          <w:rFonts w:ascii="仿宋" w:hAnsi="仿宋" w:eastAsia="仿宋" w:cs="Times New Roman"/>
          <w:color w:val="auto"/>
          <w:sz w:val="24"/>
          <w:szCs w:val="24"/>
          <w:highlight w:val="none"/>
        </w:rPr>
        <w:t>.1如果任何一方遭遇法律规定的不可抗力，致使合同履行受阻时，履行合同的期限应予延长，延长的期限应相当于不可抗力所影响的时间</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2.13.2 因不可抗力致使不能实现合同目的的，当事人可以解除合同；</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2.13.3 因</w:t>
      </w:r>
      <w:r>
        <w:rPr>
          <w:rFonts w:ascii="仿宋" w:hAnsi="仿宋" w:eastAsia="仿宋" w:cs="Times New Roman"/>
          <w:color w:val="auto"/>
          <w:sz w:val="24"/>
          <w:szCs w:val="24"/>
          <w:highlight w:val="none"/>
        </w:rPr>
        <w:t>不可抗力致使合同有变更必要的，双方当事人应在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约定时间内以书面形式变更合同</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2.13</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4</w:t>
      </w:r>
      <w:r>
        <w:rPr>
          <w:rFonts w:ascii="仿宋" w:hAnsi="仿宋" w:eastAsia="仿宋" w:cs="Times New Roman"/>
          <w:color w:val="auto"/>
          <w:sz w:val="24"/>
          <w:szCs w:val="24"/>
          <w:highlight w:val="none"/>
        </w:rPr>
        <w:t>受</w:t>
      </w:r>
      <w:r>
        <w:rPr>
          <w:rFonts w:hint="eastAsia" w:ascii="仿宋" w:hAnsi="仿宋" w:eastAsia="仿宋" w:cs="Times New Roman"/>
          <w:color w:val="auto"/>
          <w:sz w:val="24"/>
          <w:szCs w:val="24"/>
          <w:highlight w:val="none"/>
        </w:rPr>
        <w:t>不可抗力</w:t>
      </w:r>
      <w:r>
        <w:rPr>
          <w:rFonts w:ascii="仿宋" w:hAnsi="仿宋" w:eastAsia="仿宋" w:cs="Times New Roman"/>
          <w:color w:val="auto"/>
          <w:sz w:val="24"/>
          <w:szCs w:val="24"/>
          <w:highlight w:val="none"/>
        </w:rPr>
        <w:t>影响的一方在不可抗力发生后</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应在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约定时间内以书面形式通知</w:t>
      </w:r>
      <w:r>
        <w:rPr>
          <w:rFonts w:hint="eastAsia" w:ascii="仿宋" w:hAnsi="仿宋" w:eastAsia="仿宋" w:cs="Times New Roman"/>
          <w:color w:val="auto"/>
          <w:sz w:val="24"/>
          <w:szCs w:val="24"/>
          <w:highlight w:val="none"/>
        </w:rPr>
        <w:t>对</w:t>
      </w:r>
      <w:r>
        <w:rPr>
          <w:rFonts w:ascii="仿宋" w:hAnsi="仿宋" w:eastAsia="仿宋" w:cs="Times New Roman"/>
          <w:color w:val="auto"/>
          <w:sz w:val="24"/>
          <w:szCs w:val="24"/>
          <w:highlight w:val="none"/>
        </w:rPr>
        <w:t>方当事人，并在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约定时间内，将有关部门出具的证明文件送达</w:t>
      </w:r>
      <w:r>
        <w:rPr>
          <w:rFonts w:hint="eastAsia" w:ascii="仿宋" w:hAnsi="仿宋" w:eastAsia="仿宋" w:cs="Times New Roman"/>
          <w:color w:val="auto"/>
          <w:sz w:val="24"/>
          <w:szCs w:val="24"/>
          <w:highlight w:val="none"/>
        </w:rPr>
        <w:t>对方当事人</w:t>
      </w:r>
      <w:r>
        <w:rPr>
          <w:rFonts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200" w:name="_Toc6969"/>
      <w:bookmarkStart w:id="201" w:name="_Toc689"/>
      <w:bookmarkStart w:id="202" w:name="_Toc30676"/>
      <w:bookmarkStart w:id="203" w:name="_Toc487900365"/>
      <w:bookmarkStart w:id="204" w:name="_Toc259093684"/>
      <w:bookmarkStart w:id="205" w:name="_Toc279701255"/>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rPr>
        <w:t xml:space="preserve">4 </w:t>
      </w:r>
      <w:r>
        <w:rPr>
          <w:rFonts w:ascii="仿宋" w:hAnsi="仿宋" w:eastAsia="仿宋" w:cs="Times New Roman"/>
          <w:b/>
          <w:bCs/>
          <w:color w:val="auto"/>
          <w:sz w:val="24"/>
          <w:szCs w:val="24"/>
          <w:highlight w:val="none"/>
        </w:rPr>
        <w:t>税费</w:t>
      </w:r>
      <w:bookmarkEnd w:id="200"/>
      <w:bookmarkEnd w:id="201"/>
      <w:bookmarkEnd w:id="202"/>
      <w:bookmarkEnd w:id="203"/>
      <w:bookmarkEnd w:id="204"/>
      <w:bookmarkEnd w:id="205"/>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与合同有关的一切税费</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均按照中华人民共和国法律的相关规定。</w:t>
      </w:r>
    </w:p>
    <w:p>
      <w:pPr>
        <w:spacing w:line="360" w:lineRule="auto"/>
        <w:ind w:firstLine="482" w:firstLineChars="200"/>
        <w:rPr>
          <w:rFonts w:ascii="仿宋" w:hAnsi="仿宋" w:eastAsia="仿宋" w:cs="Times New Roman"/>
          <w:b/>
          <w:bCs/>
          <w:color w:val="auto"/>
          <w:sz w:val="24"/>
          <w:szCs w:val="24"/>
          <w:highlight w:val="none"/>
        </w:rPr>
      </w:pPr>
      <w:bookmarkStart w:id="206" w:name="_Toc16959"/>
      <w:bookmarkStart w:id="207" w:name="_Toc259093687"/>
      <w:bookmarkStart w:id="208" w:name="_Toc7102"/>
      <w:bookmarkStart w:id="209" w:name="_Toc487900368"/>
      <w:bookmarkStart w:id="210" w:name="_Toc279701258"/>
      <w:bookmarkStart w:id="211" w:name="_Toc8298"/>
      <w:r>
        <w:rPr>
          <w:rFonts w:hint="eastAsia" w:ascii="仿宋" w:hAnsi="仿宋" w:eastAsia="仿宋" w:cs="Times New Roman"/>
          <w:b/>
          <w:bCs/>
          <w:color w:val="auto"/>
          <w:sz w:val="24"/>
          <w:szCs w:val="24"/>
          <w:highlight w:val="none"/>
        </w:rPr>
        <w:t>2.</w:t>
      </w:r>
      <w:r>
        <w:rPr>
          <w:rFonts w:ascii="仿宋" w:hAnsi="仿宋" w:eastAsia="仿宋" w:cs="Times New Roman"/>
          <w:b/>
          <w:bCs/>
          <w:color w:val="auto"/>
          <w:sz w:val="24"/>
          <w:szCs w:val="24"/>
          <w:highlight w:val="none"/>
        </w:rPr>
        <w:t>1</w:t>
      </w:r>
      <w:r>
        <w:rPr>
          <w:rFonts w:hint="eastAsia" w:ascii="仿宋" w:hAnsi="仿宋" w:eastAsia="仿宋" w:cs="Times New Roman"/>
          <w:b/>
          <w:bCs/>
          <w:color w:val="auto"/>
          <w:sz w:val="24"/>
          <w:szCs w:val="24"/>
          <w:highlight w:val="none"/>
        </w:rPr>
        <w:t xml:space="preserve">5 </w:t>
      </w:r>
      <w:r>
        <w:rPr>
          <w:rFonts w:ascii="仿宋" w:hAnsi="仿宋" w:eastAsia="仿宋" w:cs="Times New Roman"/>
          <w:b/>
          <w:bCs/>
          <w:color w:val="auto"/>
          <w:sz w:val="24"/>
          <w:szCs w:val="24"/>
          <w:highlight w:val="none"/>
        </w:rPr>
        <w:t>乙方破产</w:t>
      </w:r>
      <w:bookmarkEnd w:id="206"/>
      <w:bookmarkEnd w:id="207"/>
      <w:bookmarkEnd w:id="208"/>
      <w:bookmarkEnd w:id="209"/>
      <w:bookmarkEnd w:id="210"/>
      <w:bookmarkEnd w:id="211"/>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如果乙方破产导致合同无法履行时，甲方可以书面形式通知乙方终止合同且不给予乙方任何补偿和赔偿</w:t>
      </w:r>
      <w:r>
        <w:rPr>
          <w:rFonts w:hint="eastAsia" w:ascii="仿宋" w:hAnsi="仿宋" w:eastAsia="仿宋" w:cs="Times New Roman"/>
          <w:color w:val="auto"/>
          <w:sz w:val="24"/>
          <w:szCs w:val="24"/>
          <w:highlight w:val="none"/>
        </w:rPr>
        <w:t>，但合同的</w:t>
      </w:r>
      <w:r>
        <w:rPr>
          <w:rFonts w:ascii="仿宋" w:hAnsi="仿宋" w:eastAsia="仿宋" w:cs="Times New Roman"/>
          <w:color w:val="auto"/>
          <w:sz w:val="24"/>
          <w:szCs w:val="24"/>
          <w:highlight w:val="none"/>
        </w:rPr>
        <w:t>终止不损害或不影响甲方已经采取或将要采取的任何要求乙方支付违约金</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赔偿损失等的行动或补救措施的权利</w:t>
      </w:r>
      <w:r>
        <w:rPr>
          <w:rFonts w:hint="eastAsia" w:ascii="仿宋" w:hAnsi="仿宋" w:eastAsia="仿宋" w:cs="Times New Roman"/>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212" w:name="_Toc29333"/>
      <w:bookmarkStart w:id="213" w:name="_Toc6134"/>
      <w:bookmarkStart w:id="214" w:name="_Toc15387"/>
      <w:r>
        <w:rPr>
          <w:rFonts w:hint="eastAsia" w:ascii="仿宋" w:hAnsi="仿宋" w:eastAsia="仿宋" w:cs="Times New Roman"/>
          <w:b/>
          <w:bCs/>
          <w:color w:val="auto"/>
          <w:sz w:val="24"/>
          <w:szCs w:val="24"/>
          <w:highlight w:val="none"/>
        </w:rPr>
        <w:t>2.16 合同中止、终止</w:t>
      </w:r>
      <w:bookmarkEnd w:id="212"/>
      <w:bookmarkEnd w:id="213"/>
      <w:bookmarkEnd w:id="214"/>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2.16.1 双方当事人不得擅自中止或者终止合同；</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仿宋" w:hAnsi="仿宋" w:eastAsia="仿宋" w:cs="Times New Roman"/>
          <w:b/>
          <w:bCs/>
          <w:color w:val="auto"/>
          <w:sz w:val="24"/>
          <w:szCs w:val="24"/>
          <w:highlight w:val="none"/>
        </w:rPr>
      </w:pPr>
      <w:bookmarkStart w:id="215" w:name="_Toc14563"/>
      <w:bookmarkStart w:id="216" w:name="_Toc1125"/>
      <w:bookmarkStart w:id="217" w:name="_Toc6596"/>
      <w:r>
        <w:rPr>
          <w:rFonts w:hint="eastAsia" w:ascii="仿宋" w:hAnsi="仿宋" w:eastAsia="仿宋" w:cs="Times New Roman"/>
          <w:b/>
          <w:bCs/>
          <w:color w:val="auto"/>
          <w:sz w:val="24"/>
          <w:szCs w:val="24"/>
          <w:highlight w:val="none"/>
        </w:rPr>
        <w:t>2.17 检验和验收</w:t>
      </w:r>
      <w:bookmarkEnd w:id="215"/>
      <w:bookmarkEnd w:id="216"/>
      <w:bookmarkEnd w:id="217"/>
    </w:p>
    <w:p>
      <w:pPr>
        <w:tabs>
          <w:tab w:val="left" w:pos="360"/>
          <w:tab w:val="left" w:pos="540"/>
          <w:tab w:val="left" w:pos="1080"/>
        </w:tabs>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7</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1货物交付前，乙方应对货物的质量、数量等方面进行详细、全面的检验，并向甲方出具证明货物符合合同约定的文件；货物交付时，乙方在</w:t>
      </w:r>
      <w:r>
        <w:rPr>
          <w:rFonts w:hint="eastAsia" w:ascii="仿宋" w:hAnsi="仿宋" w:eastAsia="仿宋" w:cs="Times New Roman"/>
          <w:b/>
          <w:i/>
          <w:color w:val="auto"/>
          <w:sz w:val="24"/>
          <w:szCs w:val="24"/>
          <w:highlight w:val="none"/>
          <w:u w:val="single"/>
        </w:rPr>
        <w:t>合同专用条款</w:t>
      </w:r>
      <w:r>
        <w:rPr>
          <w:rFonts w:hint="eastAsia" w:ascii="仿宋" w:hAnsi="仿宋" w:eastAsia="仿宋" w:cs="Times New Roman"/>
          <w:color w:val="auto"/>
          <w:sz w:val="24"/>
          <w:szCs w:val="24"/>
          <w:highlight w:val="none"/>
        </w:rPr>
        <w:t>约定时间内组织验收，并可依法邀请相关方参加，验收应出具验收书。</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2.17.3 检验和验收标准、程序等具体内容以及前述验收书的效力详见</w:t>
      </w:r>
      <w:r>
        <w:rPr>
          <w:rFonts w:ascii="仿宋" w:hAnsi="仿宋" w:eastAsia="仿宋" w:cs="Times New Roman"/>
          <w:b/>
          <w:i/>
          <w:color w:val="auto"/>
          <w:sz w:val="24"/>
          <w:szCs w:val="24"/>
          <w:highlight w:val="none"/>
          <w:u w:val="single"/>
        </w:rPr>
        <w:t>合同专用条款</w:t>
      </w:r>
      <w:r>
        <w:rPr>
          <w:rFonts w:hint="eastAsia" w:ascii="仿宋" w:hAnsi="仿宋" w:eastAsia="仿宋" w:cs="Times New Roman"/>
          <w:i/>
          <w:color w:val="auto"/>
          <w:sz w:val="24"/>
          <w:szCs w:val="24"/>
          <w:highlight w:val="none"/>
        </w:rPr>
        <w:t>。</w:t>
      </w:r>
    </w:p>
    <w:p>
      <w:pPr>
        <w:spacing w:line="360" w:lineRule="auto"/>
        <w:ind w:firstLine="482" w:firstLineChars="200"/>
        <w:rPr>
          <w:rFonts w:ascii="仿宋" w:hAnsi="仿宋" w:eastAsia="仿宋" w:cs="Times New Roman"/>
          <w:b/>
          <w:bCs/>
          <w:color w:val="auto"/>
          <w:sz w:val="24"/>
          <w:szCs w:val="24"/>
          <w:highlight w:val="none"/>
        </w:rPr>
      </w:pPr>
      <w:bookmarkStart w:id="218" w:name="_Toc487900371"/>
      <w:bookmarkStart w:id="219" w:name="_Toc259093690"/>
      <w:bookmarkStart w:id="220" w:name="_Toc279701261"/>
      <w:bookmarkStart w:id="221" w:name="_Toc19604"/>
      <w:bookmarkStart w:id="222" w:name="_Toc11284"/>
      <w:bookmarkStart w:id="223" w:name="_Toc25182"/>
      <w:r>
        <w:rPr>
          <w:rFonts w:hint="eastAsia" w:ascii="仿宋" w:hAnsi="仿宋" w:eastAsia="仿宋" w:cs="Times New Roman"/>
          <w:b/>
          <w:bCs/>
          <w:color w:val="auto"/>
          <w:sz w:val="24"/>
          <w:szCs w:val="24"/>
          <w:highlight w:val="none"/>
        </w:rPr>
        <w:t xml:space="preserve">2.18 </w:t>
      </w:r>
      <w:r>
        <w:rPr>
          <w:rFonts w:ascii="仿宋" w:hAnsi="仿宋" w:eastAsia="仿宋" w:cs="Times New Roman"/>
          <w:b/>
          <w:bCs/>
          <w:color w:val="auto"/>
          <w:sz w:val="24"/>
          <w:szCs w:val="24"/>
          <w:highlight w:val="none"/>
        </w:rPr>
        <w:t>通知</w:t>
      </w:r>
      <w:bookmarkEnd w:id="218"/>
      <w:bookmarkEnd w:id="219"/>
      <w:bookmarkEnd w:id="220"/>
      <w:r>
        <w:rPr>
          <w:rFonts w:ascii="仿宋" w:hAnsi="仿宋" w:eastAsia="仿宋" w:cs="Times New Roman"/>
          <w:b/>
          <w:bCs/>
          <w:color w:val="auto"/>
          <w:sz w:val="24"/>
          <w:szCs w:val="24"/>
          <w:highlight w:val="none"/>
        </w:rPr>
        <w:t>和送达</w:t>
      </w:r>
      <w:bookmarkEnd w:id="221"/>
      <w:bookmarkEnd w:id="222"/>
      <w:bookmarkEnd w:id="223"/>
    </w:p>
    <w:p>
      <w:pPr>
        <w:spacing w:line="560" w:lineRule="exact"/>
        <w:ind w:firstLine="480" w:firstLineChars="200"/>
        <w:rPr>
          <w:rFonts w:ascii="仿宋" w:hAnsi="仿宋" w:eastAsia="仿宋" w:cs="Times New Roman"/>
          <w:color w:val="auto"/>
          <w:sz w:val="24"/>
          <w:szCs w:val="24"/>
          <w:highlight w:val="none"/>
        </w:rPr>
      </w:pPr>
      <w:bookmarkStart w:id="224" w:name="_Toc6698"/>
      <w:bookmarkStart w:id="225" w:name="_Toc3135"/>
      <w:bookmarkStart w:id="226" w:name="_Toc259093691"/>
      <w:bookmarkStart w:id="227" w:name="_Toc487900372"/>
      <w:bookmarkStart w:id="228" w:name="_Toc279701262"/>
      <w:r>
        <w:rPr>
          <w:rFonts w:hint="eastAsia" w:ascii="仿宋" w:hAnsi="仿宋" w:eastAsia="仿宋" w:cs="Times New Roman"/>
          <w:color w:val="auto"/>
          <w:sz w:val="24"/>
          <w:szCs w:val="24"/>
          <w:highlight w:val="none"/>
        </w:rPr>
        <w:t>2.18.1 任何一方因履行合同而以合同第一部分尾部所列明的</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发出的所有通知、文件、材料，均视为已向对方当事人送达；任何一方变更上述送达方式或者地址的，应于</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个工作日内书面通知对方当事人，在对方当事人收到有关变更通知之前，变更前的约定送达方式或者地址仍视为有效。</w:t>
      </w:r>
      <w:bookmarkEnd w:id="224"/>
      <w:bookmarkEnd w:id="225"/>
    </w:p>
    <w:p>
      <w:pPr>
        <w:spacing w:line="560" w:lineRule="exact"/>
        <w:ind w:firstLine="480" w:firstLineChars="200"/>
        <w:rPr>
          <w:rFonts w:ascii="仿宋" w:hAnsi="仿宋" w:eastAsia="仿宋" w:cs="Times New Roman"/>
          <w:color w:val="auto"/>
          <w:sz w:val="24"/>
          <w:szCs w:val="24"/>
          <w:highlight w:val="none"/>
        </w:rPr>
      </w:pPr>
      <w:bookmarkStart w:id="229" w:name="_Toc23294"/>
      <w:bookmarkStart w:id="230" w:name="_Toc23128"/>
      <w:r>
        <w:rPr>
          <w:rFonts w:hint="eastAsia" w:ascii="仿宋" w:hAnsi="仿宋" w:eastAsia="仿宋" w:cs="Times New Roman"/>
          <w:color w:val="auto"/>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9"/>
      <w:bookmarkEnd w:id="230"/>
    </w:p>
    <w:p>
      <w:pPr>
        <w:spacing w:line="360" w:lineRule="auto"/>
        <w:ind w:firstLine="482" w:firstLineChars="200"/>
        <w:rPr>
          <w:rFonts w:ascii="仿宋" w:hAnsi="仿宋" w:eastAsia="仿宋" w:cs="Times New Roman"/>
          <w:b/>
          <w:bCs/>
          <w:color w:val="auto"/>
          <w:sz w:val="24"/>
          <w:szCs w:val="24"/>
          <w:highlight w:val="none"/>
        </w:rPr>
      </w:pPr>
      <w:bookmarkStart w:id="231" w:name="_Toc4355"/>
      <w:bookmarkStart w:id="232" w:name="_Toc18540"/>
      <w:bookmarkStart w:id="233" w:name="_Toc30599"/>
      <w:r>
        <w:rPr>
          <w:rFonts w:hint="eastAsia" w:ascii="仿宋" w:hAnsi="仿宋" w:eastAsia="仿宋" w:cs="Times New Roman"/>
          <w:b/>
          <w:bCs/>
          <w:color w:val="auto"/>
          <w:sz w:val="24"/>
          <w:szCs w:val="24"/>
          <w:highlight w:val="none"/>
        </w:rPr>
        <w:t xml:space="preserve">2.19 </w:t>
      </w:r>
      <w:r>
        <w:rPr>
          <w:rFonts w:ascii="仿宋" w:hAnsi="仿宋" w:eastAsia="仿宋" w:cs="Times New Roman"/>
          <w:b/>
          <w:bCs/>
          <w:color w:val="auto"/>
          <w:sz w:val="24"/>
          <w:szCs w:val="24"/>
          <w:highlight w:val="none"/>
        </w:rPr>
        <w:t>计量单位</w:t>
      </w:r>
      <w:bookmarkEnd w:id="226"/>
      <w:bookmarkEnd w:id="227"/>
      <w:bookmarkEnd w:id="228"/>
      <w:bookmarkEnd w:id="231"/>
      <w:bookmarkEnd w:id="232"/>
      <w:bookmarkEnd w:id="233"/>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除技术规范中另有规定外,合同的计量单位均使用国家法定计量单位。</w:t>
      </w:r>
    </w:p>
    <w:p>
      <w:pPr>
        <w:spacing w:line="360" w:lineRule="auto"/>
        <w:ind w:firstLine="482" w:firstLineChars="200"/>
        <w:rPr>
          <w:rFonts w:ascii="仿宋" w:hAnsi="仿宋" w:eastAsia="仿宋" w:cs="Times New Roman"/>
          <w:b/>
          <w:bCs/>
          <w:color w:val="auto"/>
          <w:sz w:val="24"/>
          <w:szCs w:val="24"/>
          <w:highlight w:val="none"/>
        </w:rPr>
      </w:pPr>
      <w:bookmarkStart w:id="234" w:name="_Toc12773"/>
      <w:bookmarkStart w:id="235" w:name="_Toc10330"/>
      <w:bookmarkStart w:id="236" w:name="_Toc18567"/>
      <w:bookmarkStart w:id="237" w:name="_Toc279701263"/>
      <w:bookmarkStart w:id="238" w:name="_Toc487900373"/>
      <w:bookmarkStart w:id="239" w:name="_Toc259093692"/>
      <w:r>
        <w:rPr>
          <w:rFonts w:hint="eastAsia" w:ascii="仿宋" w:hAnsi="仿宋" w:eastAsia="仿宋" w:cs="Times New Roman"/>
          <w:b/>
          <w:bCs/>
          <w:color w:val="auto"/>
          <w:sz w:val="24"/>
          <w:szCs w:val="24"/>
          <w:highlight w:val="none"/>
        </w:rPr>
        <w:t>2.20 合同使用的文字和</w:t>
      </w:r>
      <w:r>
        <w:rPr>
          <w:rFonts w:ascii="仿宋" w:hAnsi="仿宋" w:eastAsia="仿宋" w:cs="Times New Roman"/>
          <w:b/>
          <w:bCs/>
          <w:color w:val="auto"/>
          <w:sz w:val="24"/>
          <w:szCs w:val="24"/>
          <w:highlight w:val="none"/>
        </w:rPr>
        <w:t>适用的法律</w:t>
      </w:r>
      <w:bookmarkEnd w:id="234"/>
      <w:bookmarkEnd w:id="235"/>
      <w:bookmarkEnd w:id="236"/>
      <w:bookmarkEnd w:id="237"/>
      <w:bookmarkEnd w:id="238"/>
      <w:bookmarkEnd w:id="239"/>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2.20</w:t>
      </w: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rPr>
        <w:t xml:space="preserve"> </w:t>
      </w:r>
      <w:r>
        <w:rPr>
          <w:rFonts w:ascii="仿宋" w:hAnsi="仿宋" w:eastAsia="仿宋" w:cs="Times New Roman"/>
          <w:color w:val="auto"/>
          <w:sz w:val="24"/>
          <w:szCs w:val="24"/>
          <w:highlight w:val="none"/>
        </w:rPr>
        <w:t>合同使用汉语书就</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变更和解释</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2.20.2 合同适用</w:t>
      </w:r>
      <w:r>
        <w:rPr>
          <w:rFonts w:ascii="仿宋" w:hAnsi="仿宋" w:eastAsia="仿宋" w:cs="Times New Roman"/>
          <w:color w:val="auto"/>
          <w:sz w:val="24"/>
          <w:szCs w:val="24"/>
          <w:highlight w:val="none"/>
        </w:rPr>
        <w:t>中华人民共和国法律。</w:t>
      </w:r>
    </w:p>
    <w:p>
      <w:pPr>
        <w:spacing w:line="360" w:lineRule="auto"/>
        <w:ind w:firstLine="482" w:firstLineChars="200"/>
        <w:rPr>
          <w:rFonts w:ascii="仿宋" w:hAnsi="仿宋" w:eastAsia="仿宋" w:cs="Times New Roman"/>
          <w:b/>
          <w:bCs/>
          <w:color w:val="auto"/>
          <w:sz w:val="24"/>
          <w:szCs w:val="24"/>
          <w:highlight w:val="none"/>
        </w:rPr>
      </w:pPr>
      <w:bookmarkStart w:id="240" w:name="_Toc259093693"/>
      <w:bookmarkStart w:id="241" w:name="_Toc279701264"/>
      <w:bookmarkStart w:id="242" w:name="_Toc3148"/>
      <w:bookmarkStart w:id="243" w:name="_Toc12004"/>
      <w:bookmarkStart w:id="244" w:name="_Toc16673"/>
      <w:r>
        <w:rPr>
          <w:rFonts w:hint="eastAsia" w:ascii="仿宋" w:hAnsi="仿宋" w:eastAsia="仿宋" w:cs="Times New Roman"/>
          <w:b/>
          <w:bCs/>
          <w:color w:val="auto"/>
          <w:sz w:val="24"/>
          <w:szCs w:val="24"/>
          <w:highlight w:val="none"/>
        </w:rPr>
        <w:t xml:space="preserve">2.21 </w:t>
      </w:r>
      <w:r>
        <w:rPr>
          <w:rFonts w:ascii="仿宋" w:hAnsi="仿宋" w:eastAsia="仿宋" w:cs="Times New Roman"/>
          <w:b/>
          <w:bCs/>
          <w:color w:val="auto"/>
          <w:sz w:val="24"/>
          <w:szCs w:val="24"/>
          <w:highlight w:val="none"/>
        </w:rPr>
        <w:t>履约保证金</w:t>
      </w:r>
      <w:bookmarkEnd w:id="240"/>
      <w:bookmarkEnd w:id="241"/>
      <w:bookmarkEnd w:id="242"/>
      <w:bookmarkEnd w:id="243"/>
      <w:bookmarkEnd w:id="244"/>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2.21.1 采购文件要求乙方提交履约保证金的，乙方</w:t>
      </w:r>
      <w:r>
        <w:rPr>
          <w:rFonts w:ascii="仿宋" w:hAnsi="仿宋" w:eastAsia="仿宋" w:cs="Times New Roman"/>
          <w:color w:val="auto"/>
          <w:sz w:val="24"/>
          <w:szCs w:val="24"/>
          <w:highlight w:val="none"/>
        </w:rPr>
        <w:t>应按</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约定的方式</w:t>
      </w:r>
      <w:r>
        <w:rPr>
          <w:rFonts w:hint="eastAsia" w:ascii="仿宋" w:hAnsi="仿宋" w:eastAsia="仿宋" w:cs="Times New Roman"/>
          <w:color w:val="auto"/>
          <w:sz w:val="24"/>
          <w:szCs w:val="24"/>
          <w:highlight w:val="none"/>
        </w:rPr>
        <w:t>，以支票、汇票、本票或者金融机构、担保机构出具的保函等非现金形式，提交不超过合同价10%的履约保证金；</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2.21</w:t>
      </w:r>
      <w:r>
        <w:rPr>
          <w:rFonts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rPr>
        <w:t xml:space="preserve"> </w:t>
      </w:r>
      <w:r>
        <w:rPr>
          <w:rFonts w:ascii="仿宋" w:hAnsi="仿宋" w:eastAsia="仿宋" w:cs="Times New Roman"/>
          <w:color w:val="auto"/>
          <w:sz w:val="24"/>
          <w:szCs w:val="24"/>
          <w:highlight w:val="none"/>
        </w:rPr>
        <w:t>履约保证金在</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约定期间内或者货物质量保证期内不予退还或者应完全有效</w:t>
      </w:r>
      <w:r>
        <w:rPr>
          <w:rFonts w:hint="eastAsia" w:ascii="仿宋" w:hAnsi="仿宋" w:eastAsia="仿宋" w:cs="Times New Roman"/>
          <w:color w:val="auto"/>
          <w:sz w:val="24"/>
          <w:szCs w:val="24"/>
          <w:highlight w:val="none"/>
        </w:rPr>
        <w:t>，前述约定期间届满或者</w:t>
      </w:r>
      <w:r>
        <w:rPr>
          <w:rFonts w:ascii="仿宋" w:hAnsi="仿宋" w:eastAsia="仿宋" w:cs="Times New Roman"/>
          <w:color w:val="auto"/>
          <w:sz w:val="24"/>
          <w:szCs w:val="24"/>
          <w:highlight w:val="none"/>
        </w:rPr>
        <w:t>货物质量保证期届满之日起</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个</w:t>
      </w:r>
      <w:r>
        <w:rPr>
          <w:rFonts w:ascii="仿宋" w:hAnsi="仿宋" w:eastAsia="仿宋" w:cs="Times New Roman"/>
          <w:color w:val="auto"/>
          <w:sz w:val="24"/>
          <w:szCs w:val="24"/>
          <w:highlight w:val="none"/>
        </w:rPr>
        <w:t>工作日内，甲方应将履约保证金退还乙方</w:t>
      </w:r>
      <w:r>
        <w:rPr>
          <w:rFonts w:hint="eastAsia" w:ascii="仿宋" w:hAnsi="仿宋" w:eastAsia="仿宋" w:cs="Times New Roman"/>
          <w:color w:val="auto"/>
          <w:sz w:val="24"/>
          <w:szCs w:val="24"/>
          <w:highlight w:val="none"/>
        </w:rPr>
        <w:t>；</w:t>
      </w:r>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2.21.3 </w:t>
      </w:r>
      <w:r>
        <w:rPr>
          <w:rFonts w:ascii="仿宋" w:hAnsi="仿宋" w:eastAsia="仿宋" w:cs="Times New Roman"/>
          <w:color w:val="auto"/>
          <w:sz w:val="24"/>
          <w:szCs w:val="24"/>
          <w:highlight w:val="none"/>
        </w:rPr>
        <w:t>如果乙方不履行合同</w:t>
      </w:r>
      <w:r>
        <w:rPr>
          <w:rFonts w:hint="eastAsia" w:ascii="仿宋" w:hAnsi="仿宋" w:eastAsia="仿宋" w:cs="Times New Roman"/>
          <w:color w:val="auto"/>
          <w:sz w:val="24"/>
          <w:szCs w:val="24"/>
          <w:highlight w:val="none"/>
        </w:rPr>
        <w:t>，履约保证金不予退还；如果乙方</w:t>
      </w:r>
      <w:r>
        <w:rPr>
          <w:rFonts w:ascii="仿宋" w:hAnsi="仿宋" w:eastAsia="仿宋" w:cs="Times New Roman"/>
          <w:color w:val="auto"/>
          <w:sz w:val="24"/>
          <w:szCs w:val="24"/>
          <w:highlight w:val="none"/>
        </w:rPr>
        <w:t>未能按合同</w:t>
      </w:r>
      <w:r>
        <w:rPr>
          <w:rFonts w:hint="eastAsia" w:ascii="仿宋" w:hAnsi="仿宋" w:eastAsia="仿宋" w:cs="Times New Roman"/>
          <w:color w:val="auto"/>
          <w:sz w:val="24"/>
          <w:szCs w:val="24"/>
          <w:highlight w:val="none"/>
        </w:rPr>
        <w:t>约</w:t>
      </w:r>
      <w:r>
        <w:rPr>
          <w:rFonts w:ascii="仿宋" w:hAnsi="仿宋" w:eastAsia="仿宋" w:cs="Times New Roman"/>
          <w:color w:val="auto"/>
          <w:sz w:val="24"/>
          <w:szCs w:val="24"/>
          <w:highlight w:val="none"/>
        </w:rPr>
        <w:t>定全面履行义务，那么甲方有权从履约保证金中取得补偿或赔偿</w:t>
      </w:r>
      <w:r>
        <w:rPr>
          <w:rFonts w:hint="eastAsia" w:ascii="仿宋" w:hAnsi="仿宋" w:eastAsia="仿宋" w:cs="Times New Roman"/>
          <w:color w:val="auto"/>
          <w:sz w:val="24"/>
          <w:szCs w:val="24"/>
          <w:highlight w:val="none"/>
        </w:rPr>
        <w:t>，同时不影响甲方要求乙方承担合同约定的超过履约保证金的违约责任的权利。</w:t>
      </w:r>
    </w:p>
    <w:p>
      <w:pPr>
        <w:spacing w:line="360" w:lineRule="auto"/>
        <w:ind w:firstLine="482" w:firstLineChars="200"/>
        <w:rPr>
          <w:rFonts w:ascii="仿宋" w:hAnsi="仿宋" w:eastAsia="仿宋" w:cs="Times New Roman"/>
          <w:b/>
          <w:bCs/>
          <w:color w:val="auto"/>
          <w:sz w:val="24"/>
          <w:szCs w:val="24"/>
          <w:highlight w:val="none"/>
        </w:rPr>
      </w:pPr>
      <w:bookmarkStart w:id="245" w:name="_Toc14001"/>
      <w:bookmarkStart w:id="246" w:name="_Toc6885"/>
      <w:bookmarkStart w:id="247" w:name="_Toc19890"/>
      <w:r>
        <w:rPr>
          <w:rFonts w:hint="eastAsia" w:ascii="仿宋" w:hAnsi="仿宋" w:eastAsia="仿宋" w:cs="Times New Roman"/>
          <w:b/>
          <w:bCs/>
          <w:color w:val="auto"/>
          <w:sz w:val="24"/>
          <w:szCs w:val="24"/>
          <w:highlight w:val="none"/>
        </w:rPr>
        <w:t>2.22 合同份数</w:t>
      </w:r>
      <w:bookmarkEnd w:id="245"/>
      <w:bookmarkEnd w:id="246"/>
      <w:bookmarkEnd w:id="247"/>
    </w:p>
    <w:p>
      <w:pPr>
        <w:spacing w:line="560" w:lineRule="exact"/>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合同份数按</w:t>
      </w:r>
      <w:r>
        <w:rPr>
          <w:rFonts w:ascii="仿宋" w:hAnsi="仿宋" w:eastAsia="仿宋" w:cs="Times New Roman"/>
          <w:b/>
          <w:i/>
          <w:color w:val="auto"/>
          <w:sz w:val="24"/>
          <w:szCs w:val="24"/>
          <w:highlight w:val="none"/>
          <w:u w:val="single"/>
        </w:rPr>
        <w:t>合同专用条款</w:t>
      </w:r>
      <w:r>
        <w:rPr>
          <w:rFonts w:ascii="仿宋" w:hAnsi="仿宋" w:eastAsia="仿宋" w:cs="Times New Roman"/>
          <w:color w:val="auto"/>
          <w:sz w:val="24"/>
          <w:szCs w:val="24"/>
          <w:highlight w:val="none"/>
        </w:rPr>
        <w:t>规定</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每份均具有同等法律效力</w:t>
      </w:r>
      <w:r>
        <w:rPr>
          <w:rFonts w:hint="eastAsia" w:ascii="仿宋" w:hAnsi="仿宋" w:eastAsia="仿宋" w:cs="Times New Roman"/>
          <w:color w:val="auto"/>
          <w:sz w:val="24"/>
          <w:szCs w:val="24"/>
          <w:highlight w:val="none"/>
        </w:rPr>
        <w:t>。</w:t>
      </w:r>
    </w:p>
    <w:p>
      <w:pPr>
        <w:widowControl/>
        <w:jc w:val="left"/>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br w:type="page"/>
      </w:r>
    </w:p>
    <w:p>
      <w:pPr>
        <w:autoSpaceDE w:val="0"/>
        <w:autoSpaceDN w:val="0"/>
        <w:adjustRightInd w:val="0"/>
        <w:spacing w:line="560" w:lineRule="exact"/>
        <w:jc w:val="center"/>
        <w:rPr>
          <w:rFonts w:ascii="仿宋" w:hAnsi="仿宋" w:eastAsia="仿宋" w:cs="Times New Roman"/>
          <w:b/>
          <w:color w:val="auto"/>
          <w:sz w:val="24"/>
          <w:szCs w:val="24"/>
          <w:highlight w:val="none"/>
        </w:rPr>
      </w:pPr>
      <w:bookmarkStart w:id="248" w:name="_Toc331685784"/>
      <w:r>
        <w:rPr>
          <w:rFonts w:hint="eastAsia" w:ascii="仿宋" w:hAnsi="仿宋" w:eastAsia="仿宋" w:cs="Times New Roman"/>
          <w:b/>
          <w:color w:val="auto"/>
          <w:sz w:val="24"/>
          <w:szCs w:val="24"/>
          <w:highlight w:val="none"/>
        </w:rPr>
        <w:t>第三部分  合同专用条款</w:t>
      </w:r>
      <w:bookmarkEnd w:id="248"/>
    </w:p>
    <w:p>
      <w:pPr>
        <w:spacing w:line="56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本部分</w:t>
      </w:r>
      <w:r>
        <w:rPr>
          <w:rFonts w:ascii="仿宋" w:hAnsi="仿宋" w:eastAsia="仿宋" w:cs="Times New Roman"/>
          <w:color w:val="auto"/>
          <w:sz w:val="24"/>
          <w:szCs w:val="24"/>
          <w:highlight w:val="none"/>
        </w:rPr>
        <w:t>是对</w:t>
      </w:r>
      <w:r>
        <w:rPr>
          <w:rFonts w:hint="eastAsia" w:ascii="仿宋" w:hAnsi="仿宋" w:eastAsia="仿宋" w:cs="Times New Roman"/>
          <w:color w:val="auto"/>
          <w:sz w:val="24"/>
          <w:szCs w:val="24"/>
          <w:highlight w:val="none"/>
        </w:rPr>
        <w:t>前两</w:t>
      </w:r>
      <w:r>
        <w:rPr>
          <w:rFonts w:ascii="仿宋" w:hAnsi="仿宋" w:eastAsia="仿宋" w:cs="Times New Roman"/>
          <w:color w:val="auto"/>
          <w:sz w:val="24"/>
          <w:szCs w:val="24"/>
          <w:highlight w:val="none"/>
        </w:rPr>
        <w:t>部分的补充和修改</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如果</w:t>
      </w:r>
      <w:r>
        <w:rPr>
          <w:rFonts w:hint="eastAsia" w:ascii="仿宋" w:hAnsi="仿宋" w:eastAsia="仿宋" w:cs="Times New Roman"/>
          <w:color w:val="auto"/>
          <w:sz w:val="24"/>
          <w:szCs w:val="24"/>
          <w:highlight w:val="none"/>
        </w:rPr>
        <w:t>前两</w:t>
      </w:r>
      <w:r>
        <w:rPr>
          <w:rFonts w:ascii="仿宋" w:hAnsi="仿宋" w:eastAsia="仿宋" w:cs="Times New Roman"/>
          <w:color w:val="auto"/>
          <w:sz w:val="24"/>
          <w:szCs w:val="24"/>
          <w:highlight w:val="none"/>
        </w:rPr>
        <w:t>部分和本部分的约定不一致</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应以本部分的约定为准</w:t>
      </w:r>
      <w:r>
        <w:rPr>
          <w:rFonts w:hint="eastAsia" w:ascii="仿宋" w:hAnsi="仿宋" w:eastAsia="仿宋" w:cs="Times New Roman"/>
          <w:color w:val="auto"/>
          <w:sz w:val="24"/>
          <w:szCs w:val="24"/>
          <w:highlight w:val="none"/>
        </w:rPr>
        <w:t>。</w:t>
      </w:r>
      <w:r>
        <w:rPr>
          <w:rFonts w:ascii="仿宋" w:hAnsi="仿宋" w:eastAsia="仿宋" w:cs="Times New Roman"/>
          <w:color w:val="auto"/>
          <w:sz w:val="24"/>
          <w:szCs w:val="24"/>
          <w:highlight w:val="none"/>
        </w:rPr>
        <w:t>本部分的条款号应与</w:t>
      </w:r>
      <w:r>
        <w:rPr>
          <w:rFonts w:hint="eastAsia" w:ascii="仿宋" w:hAnsi="仿宋" w:eastAsia="仿宋" w:cs="Times New Roman"/>
          <w:color w:val="auto"/>
          <w:sz w:val="24"/>
          <w:szCs w:val="24"/>
          <w:highlight w:val="none"/>
        </w:rPr>
        <w:t>前两部分</w:t>
      </w:r>
      <w:r>
        <w:rPr>
          <w:rFonts w:ascii="仿宋" w:hAnsi="仿宋" w:eastAsia="仿宋" w:cs="Times New Roman"/>
          <w:color w:val="auto"/>
          <w:sz w:val="24"/>
          <w:szCs w:val="24"/>
          <w:highlight w:val="none"/>
        </w:rPr>
        <w:t>的条款号保持对应</w:t>
      </w:r>
      <w:r>
        <w:rPr>
          <w:rFonts w:hint="eastAsia" w:ascii="仿宋" w:hAnsi="仿宋" w:eastAsia="仿宋" w:cs="Times New Roman"/>
          <w:color w:val="auto"/>
          <w:sz w:val="24"/>
          <w:szCs w:val="24"/>
          <w:highlight w:val="none"/>
        </w:rPr>
        <w:t>；与前两部分</w:t>
      </w:r>
      <w:r>
        <w:rPr>
          <w:rFonts w:ascii="仿宋" w:hAnsi="仿宋" w:eastAsia="仿宋" w:cs="Times New Roman"/>
          <w:color w:val="auto"/>
          <w:sz w:val="24"/>
          <w:szCs w:val="24"/>
          <w:highlight w:val="none"/>
        </w:rPr>
        <w:t>无对应关系的内容可另行编制条款号</w:t>
      </w:r>
      <w:r>
        <w:rPr>
          <w:rFonts w:hint="eastAsia" w:ascii="仿宋" w:hAnsi="仿宋" w:eastAsia="仿宋" w:cs="Times New Roman"/>
          <w:color w:val="auto"/>
          <w:sz w:val="24"/>
          <w:szCs w:val="24"/>
          <w:highlight w:val="none"/>
        </w:rPr>
        <w:t>。</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pPr>
              <w:spacing w:line="560" w:lineRule="exact"/>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条款号</w:t>
            </w:r>
          </w:p>
        </w:tc>
        <w:tc>
          <w:tcPr>
            <w:tcW w:w="7633" w:type="dxa"/>
            <w:vAlign w:val="center"/>
          </w:tcPr>
          <w:p>
            <w:pPr>
              <w:spacing w:line="560" w:lineRule="exact"/>
              <w:jc w:val="center"/>
              <w:rPr>
                <w:rFonts w:ascii="仿宋" w:hAnsi="仿宋" w:eastAsia="仿宋" w:cs="Times New Roman"/>
                <w:b/>
                <w:color w:val="auto"/>
                <w:sz w:val="24"/>
                <w:szCs w:val="24"/>
                <w:highlight w:val="none"/>
              </w:rPr>
            </w:pPr>
            <w:r>
              <w:rPr>
                <w:rFonts w:ascii="仿宋" w:hAnsi="仿宋" w:eastAsia="仿宋" w:cs="Times New Roman"/>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vAlign w:val="center"/>
          </w:tcPr>
          <w:p>
            <w:pPr>
              <w:spacing w:line="560" w:lineRule="exact"/>
              <w:rPr>
                <w:rFonts w:ascii="仿宋" w:hAnsi="仿宋" w:eastAsia="仿宋" w:cs="Times New Roman"/>
                <w:color w:val="auto"/>
                <w:sz w:val="24"/>
                <w:szCs w:val="24"/>
                <w:highlight w:val="none"/>
              </w:rPr>
            </w:pPr>
          </w:p>
        </w:tc>
        <w:tc>
          <w:tcPr>
            <w:tcW w:w="7633" w:type="dxa"/>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Times New Roman"/>
                <w:color w:val="auto"/>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Times New Roman"/>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Times New Roman"/>
                <w:color w:val="auto"/>
                <w:sz w:val="24"/>
                <w:szCs w:val="24"/>
                <w:highlight w:val="none"/>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Times New Roman"/>
                <w:color w:val="auto"/>
                <w:sz w:val="24"/>
                <w:szCs w:val="24"/>
                <w:highlight w:val="none"/>
              </w:rPr>
            </w:pPr>
          </w:p>
        </w:tc>
      </w:tr>
    </w:tbl>
    <w:p>
      <w:pPr>
        <w:spacing w:line="560" w:lineRule="exact"/>
        <w:ind w:firstLine="482" w:firstLineChars="200"/>
        <w:rPr>
          <w:rFonts w:ascii="仿宋" w:hAnsi="仿宋" w:eastAsia="仿宋" w:cs="Times New Roman"/>
          <w:b/>
          <w:color w:val="auto"/>
          <w:sz w:val="24"/>
          <w:szCs w:val="24"/>
          <w:highlight w:val="none"/>
        </w:rPr>
      </w:pPr>
    </w:p>
    <w:p>
      <w:pPr>
        <w:ind w:firstLine="840" w:firstLineChars="400"/>
        <w:rPr>
          <w:color w:val="auto"/>
          <w:highlight w:val="none"/>
        </w:rPr>
      </w:pPr>
    </w:p>
    <w:p>
      <w:pPr>
        <w:widowControl/>
        <w:jc w:val="left"/>
        <w:rPr>
          <w:rFonts w:ascii="仿宋" w:hAnsi="仿宋" w:eastAsia="仿宋"/>
          <w:b/>
          <w:bCs/>
          <w:color w:val="auto"/>
          <w:kern w:val="44"/>
          <w:sz w:val="32"/>
          <w:szCs w:val="32"/>
          <w:highlight w:val="none"/>
        </w:rPr>
      </w:pPr>
      <w:r>
        <w:rPr>
          <w:rFonts w:ascii="仿宋" w:hAnsi="仿宋" w:eastAsia="仿宋"/>
          <w:color w:val="auto"/>
          <w:sz w:val="32"/>
          <w:szCs w:val="32"/>
          <w:highlight w:val="none"/>
        </w:rPr>
        <w:br w:type="page"/>
      </w:r>
    </w:p>
    <w:p>
      <w:pPr>
        <w:pStyle w:val="2"/>
        <w:spacing w:before="159" w:beforeLines="50" w:after="159" w:afterLines="50"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第六部分 响应文件组成</w:t>
      </w:r>
    </w:p>
    <w:p>
      <w:pPr>
        <w:widowControl/>
        <w:shd w:val="clear" w:color="auto" w:fill="FFFFFF"/>
        <w:spacing w:line="360" w:lineRule="auto"/>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供应商投标文件材料（一正二副，密封并牢固装订）</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rPr>
        <w:t>投标人符合《政府采购法》第二十二条规定条件的承诺函</w:t>
      </w:r>
      <w:r>
        <w:rPr>
          <w:rFonts w:ascii="仿宋" w:hAnsi="仿宋" w:eastAsia="仿宋" w:cs="仿宋"/>
          <w:bCs/>
          <w:color w:val="auto"/>
          <w:sz w:val="24"/>
          <w:szCs w:val="24"/>
          <w:highlight w:val="none"/>
        </w:rPr>
        <w:t>；（格式见附件1）</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ascii="仿宋" w:hAnsi="仿宋" w:eastAsia="仿宋" w:cs="仿宋"/>
          <w:bCs/>
          <w:color w:val="auto"/>
          <w:sz w:val="24"/>
          <w:szCs w:val="24"/>
          <w:highlight w:val="none"/>
        </w:rPr>
        <w:t>.法定代表人身份证明书；（格式见附件2）</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ascii="仿宋" w:hAnsi="仿宋" w:eastAsia="仿宋" w:cs="仿宋"/>
          <w:bCs/>
          <w:color w:val="auto"/>
          <w:sz w:val="24"/>
          <w:szCs w:val="24"/>
          <w:highlight w:val="none"/>
        </w:rPr>
        <w:t>.法定代表人授权委托书原件，</w:t>
      </w:r>
      <w:r>
        <w:rPr>
          <w:rFonts w:hint="eastAsia" w:ascii="仿宋" w:hAnsi="仿宋" w:eastAsia="仿宋" w:cs="仿宋"/>
          <w:bCs/>
          <w:color w:val="auto"/>
          <w:sz w:val="24"/>
          <w:szCs w:val="24"/>
          <w:highlight w:val="none"/>
        </w:rPr>
        <w:t>授权</w:t>
      </w:r>
      <w:r>
        <w:rPr>
          <w:rFonts w:ascii="仿宋" w:hAnsi="仿宋" w:eastAsia="仿宋" w:cs="仿宋"/>
          <w:bCs/>
          <w:color w:val="auto"/>
          <w:sz w:val="24"/>
          <w:szCs w:val="24"/>
          <w:highlight w:val="none"/>
        </w:rPr>
        <w:t>代表本人身份证复印件；（格式见附件3）</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供应商营业执照复印件；</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ascii="仿宋" w:hAnsi="仿宋" w:eastAsia="仿宋" w:cs="仿宋"/>
          <w:bCs/>
          <w:color w:val="auto"/>
          <w:sz w:val="24"/>
          <w:szCs w:val="24"/>
          <w:highlight w:val="none"/>
        </w:rPr>
        <w:t>.</w:t>
      </w:r>
      <w:r>
        <w:rPr>
          <w:rFonts w:hint="eastAsia" w:ascii="仿宋" w:hAnsi="仿宋" w:eastAsia="仿宋" w:cs="仿宋"/>
          <w:bCs/>
          <w:color w:val="auto"/>
          <w:sz w:val="24"/>
          <w:szCs w:val="24"/>
          <w:highlight w:val="none"/>
        </w:rPr>
        <w:t>供应商未被“信用中国”网站（www.creditchina.gov.cn）列入失信被执行人、重大税收违法案件当事人名单、政府采购严重失信行为记录名单（提供网页查询截图）；</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供应商信用承诺书；</w:t>
      </w:r>
      <w:r>
        <w:rPr>
          <w:rFonts w:ascii="仿宋" w:hAnsi="仿宋" w:eastAsia="仿宋" w:cs="仿宋"/>
          <w:bCs/>
          <w:color w:val="auto"/>
          <w:sz w:val="24"/>
          <w:szCs w:val="24"/>
          <w:highlight w:val="none"/>
        </w:rPr>
        <w:t>（格式见附件</w:t>
      </w:r>
      <w:r>
        <w:rPr>
          <w:rFonts w:hint="eastAsia" w:ascii="仿宋" w:hAnsi="仿宋" w:eastAsia="仿宋" w:cs="仿宋"/>
          <w:bCs/>
          <w:color w:val="auto"/>
          <w:sz w:val="24"/>
          <w:szCs w:val="24"/>
          <w:highlight w:val="none"/>
          <w:lang w:val="en-US" w:eastAsia="zh-CN"/>
        </w:rPr>
        <w:t>9</w:t>
      </w:r>
      <w:r>
        <w:rPr>
          <w:rFonts w:ascii="仿宋" w:hAnsi="仿宋" w:eastAsia="仿宋" w:cs="仿宋"/>
          <w:bCs/>
          <w:color w:val="auto"/>
          <w:sz w:val="24"/>
          <w:szCs w:val="24"/>
          <w:highlight w:val="none"/>
        </w:rPr>
        <w:t>）</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7.询价公告资格要求提供相应的佐证材料；</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8.供应商情况一览表；（格式见附件4）</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9.商务部分正负偏离表；（格式见附件5）</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10.技术部分正负偏离表；（格式见附件6）</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11.响应方案、货物（服务）清单。具有项目、数量、品牌、型号、配置性能等；</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12.供应商认为需要提交的其他商务技术材料。</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13.报价总表；（格式见附件7）</w:t>
      </w:r>
    </w:p>
    <w:p>
      <w:pPr>
        <w:widowControl/>
        <w:shd w:val="clear" w:color="auto" w:fill="FFFFFF"/>
        <w:spacing w:line="360" w:lineRule="auto"/>
        <w:ind w:firstLine="480" w:firstLineChars="200"/>
        <w:jc w:val="left"/>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14.分项报价明细表</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rPr>
        <w:t>（格式见附件8）</w:t>
      </w:r>
    </w:p>
    <w:p>
      <w:pPr>
        <w:widowControl/>
        <w:shd w:val="clear" w:color="auto" w:fill="FFFFFF"/>
        <w:spacing w:line="360" w:lineRule="auto"/>
        <w:ind w:firstLine="560" w:firstLineChars="200"/>
        <w:jc w:val="left"/>
        <w:rPr>
          <w:rFonts w:ascii="仿宋" w:hAnsi="仿宋" w:eastAsia="仿宋" w:cs="Times New Roman"/>
          <w:color w:val="auto"/>
          <w:kern w:val="0"/>
          <w:sz w:val="28"/>
          <w:szCs w:val="28"/>
          <w:highlight w:val="none"/>
          <w:lang w:val="zh-CN"/>
        </w:rPr>
      </w:pPr>
      <w:r>
        <w:rPr>
          <w:rFonts w:ascii="仿宋" w:hAnsi="仿宋" w:eastAsia="仿宋" w:cs="Times New Roman"/>
          <w:color w:val="auto"/>
          <w:kern w:val="0"/>
          <w:sz w:val="28"/>
          <w:szCs w:val="28"/>
          <w:highlight w:val="none"/>
          <w:lang w:val="zh-CN"/>
        </w:rPr>
        <w:br w:type="page"/>
      </w:r>
    </w:p>
    <w:p>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附件1</w:t>
      </w:r>
    </w:p>
    <w:p>
      <w:pPr>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投标人符合《政府采购法》第二十二条规定条件的声明函</w:t>
      </w:r>
    </w:p>
    <w:p>
      <w:pPr>
        <w:spacing w:line="360" w:lineRule="auto"/>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 xml:space="preserve">                          </w:t>
      </w:r>
    </w:p>
    <w:p>
      <w:pPr>
        <w:spacing w:line="360" w:lineRule="auto"/>
        <w:ind w:firstLine="480" w:firstLineChars="200"/>
        <w:rPr>
          <w:rFonts w:ascii="仿宋" w:hAnsi="仿宋" w:eastAsia="仿宋" w:cs="Times New Roman"/>
          <w:b/>
          <w:bCs/>
          <w:color w:val="auto"/>
          <w:sz w:val="24"/>
          <w:szCs w:val="24"/>
          <w:highlight w:val="none"/>
        </w:rPr>
      </w:pPr>
      <w:r>
        <w:rPr>
          <w:rFonts w:hint="eastAsia" w:ascii="仿宋" w:hAnsi="仿宋" w:eastAsia="仿宋" w:cs="Times New Roman"/>
          <w:bCs/>
          <w:color w:val="auto"/>
          <w:sz w:val="24"/>
          <w:szCs w:val="24"/>
          <w:highlight w:val="none"/>
        </w:rPr>
        <w:t>我单位参加</w:t>
      </w:r>
      <w:r>
        <w:rPr>
          <w:rFonts w:hint="eastAsia" w:ascii="仿宋" w:hAnsi="仿宋" w:eastAsia="仿宋" w:cs="Times New Roman"/>
          <w:bCs/>
          <w:color w:val="auto"/>
          <w:sz w:val="24"/>
          <w:szCs w:val="24"/>
          <w:highlight w:val="none"/>
          <w:u w:val="single"/>
        </w:rPr>
        <w:t>________________ _</w:t>
      </w:r>
      <w:r>
        <w:rPr>
          <w:rFonts w:hint="eastAsia" w:ascii="仿宋" w:hAnsi="仿宋" w:eastAsia="仿宋" w:cs="Times New Roman"/>
          <w:bCs/>
          <w:color w:val="auto"/>
          <w:sz w:val="24"/>
          <w:szCs w:val="24"/>
          <w:highlight w:val="none"/>
        </w:rPr>
        <w:t>（项目名称），</w:t>
      </w:r>
      <w:r>
        <w:rPr>
          <w:rFonts w:hint="eastAsia" w:ascii="仿宋" w:hAnsi="仿宋" w:eastAsia="仿宋" w:cs="Times New Roman"/>
          <w:bCs/>
          <w:color w:val="auto"/>
          <w:sz w:val="24"/>
          <w:szCs w:val="24"/>
          <w:highlight w:val="none"/>
          <w:u w:val="single"/>
        </w:rPr>
        <w:t>_______ __________</w:t>
      </w:r>
      <w:r>
        <w:rPr>
          <w:rFonts w:hint="eastAsia" w:ascii="仿宋" w:hAnsi="仿宋" w:eastAsia="仿宋" w:cs="Times New Roman"/>
          <w:bCs/>
          <w:color w:val="auto"/>
          <w:sz w:val="24"/>
          <w:szCs w:val="24"/>
          <w:highlight w:val="none"/>
        </w:rPr>
        <w:t>（项目编号）投标活动。针对《中华人民共和国政府采购法》第二十二条规定做出如下声明：</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rPr>
        <w:t>1.我单位具有独立承担民事责任的能力；</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2.我单位具有良好的商业信誉和健全的财务会计制度；</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3.我单位具有履行合同所必需的设备和专业技术能力；</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4.我单位有依法缴纳税收和社会保障资金的良好记录；</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2"/>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6.我单位满足法律、行政法规规定的其他条件。</w:t>
      </w:r>
    </w:p>
    <w:p>
      <w:pPr>
        <w:spacing w:line="360" w:lineRule="auto"/>
        <w:rPr>
          <w:rFonts w:ascii="仿宋" w:hAnsi="仿宋" w:eastAsia="仿宋" w:cs="Times New Roman"/>
          <w:bCs/>
          <w:color w:val="auto"/>
          <w:sz w:val="24"/>
          <w:szCs w:val="24"/>
          <w:highlight w:val="none"/>
        </w:rPr>
      </w:pPr>
    </w:p>
    <w:p>
      <w:pPr>
        <w:spacing w:line="360" w:lineRule="auto"/>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承诺人名称（公章）：</w:t>
      </w:r>
    </w:p>
    <w:p>
      <w:pPr>
        <w:spacing w:line="360" w:lineRule="auto"/>
        <w:ind w:right="1120"/>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日期：</w:t>
      </w:r>
      <w:r>
        <w:rPr>
          <w:rFonts w:hint="eastAsia" w:ascii="仿宋" w:hAnsi="仿宋" w:eastAsia="仿宋" w:cs="Times New Roman"/>
          <w:bCs/>
          <w:color w:val="auto"/>
          <w:sz w:val="24"/>
          <w:szCs w:val="24"/>
          <w:highlight w:val="none"/>
          <w:u w:val="single"/>
        </w:rPr>
        <w:t>______</w:t>
      </w:r>
      <w:r>
        <w:rPr>
          <w:rFonts w:hint="eastAsia" w:ascii="仿宋" w:hAnsi="仿宋" w:eastAsia="仿宋" w:cs="Times New Roman"/>
          <w:bCs/>
          <w:color w:val="auto"/>
          <w:sz w:val="24"/>
          <w:szCs w:val="24"/>
          <w:highlight w:val="none"/>
        </w:rPr>
        <w:t>年</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月</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日</w:t>
      </w:r>
    </w:p>
    <w:p>
      <w:pPr>
        <w:widowControl/>
        <w:spacing w:line="360" w:lineRule="auto"/>
        <w:jc w:val="left"/>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br w:type="page"/>
      </w:r>
    </w:p>
    <w:p>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附件2</w:t>
      </w:r>
    </w:p>
    <w:p>
      <w:pPr>
        <w:spacing w:line="360" w:lineRule="auto"/>
        <w:jc w:val="center"/>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法定代表人身份证明</w:t>
      </w:r>
    </w:p>
    <w:p>
      <w:pPr>
        <w:spacing w:line="360" w:lineRule="auto"/>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先生/女士：</w:t>
      </w:r>
      <w:r>
        <w:rPr>
          <w:rFonts w:ascii="仿宋" w:hAnsi="仿宋" w:eastAsia="仿宋" w:cs="Times New Roman"/>
          <w:color w:val="auto"/>
          <w:sz w:val="24"/>
          <w:szCs w:val="24"/>
          <w:highlight w:val="none"/>
        </w:rPr>
        <w:t xml:space="preserve"> </w:t>
      </w:r>
      <w:r>
        <w:rPr>
          <w:rFonts w:hint="eastAsia" w:ascii="仿宋" w:hAnsi="仿宋" w:eastAsia="仿宋" w:cs="Times New Roman"/>
          <w:color w:val="auto"/>
          <w:sz w:val="24"/>
          <w:szCs w:val="24"/>
          <w:highlight w:val="none"/>
        </w:rPr>
        <w:t>现任我单位</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职务，为法定代表人，特此证明。</w:t>
      </w:r>
    </w:p>
    <w:p>
      <w:pPr>
        <w:spacing w:line="360" w:lineRule="auto"/>
        <w:ind w:firstLine="480"/>
        <w:rPr>
          <w:rFonts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rPr>
        <w:t>身份证号码：</w:t>
      </w:r>
      <w:r>
        <w:rPr>
          <w:rFonts w:ascii="仿宋" w:hAnsi="仿宋" w:eastAsia="仿宋" w:cs="Times New Roman"/>
          <w:color w:val="auto"/>
          <w:sz w:val="24"/>
          <w:szCs w:val="24"/>
          <w:highlight w:val="none"/>
          <w:u w:val="single"/>
        </w:rPr>
        <w:t xml:space="preserve">                              </w:t>
      </w:r>
    </w:p>
    <w:p>
      <w:pPr>
        <w:spacing w:line="360" w:lineRule="auto"/>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注：提供法定代表人的身份证复印件盖公章</w:t>
      </w:r>
    </w:p>
    <w:p>
      <w:pPr>
        <w:snapToGrid w:val="0"/>
        <w:spacing w:line="360" w:lineRule="auto"/>
        <w:contextualSpacing/>
        <w:rPr>
          <w:rFonts w:ascii="仿宋" w:hAnsi="仿宋" w:eastAsia="仿宋" w:cs="宋体"/>
          <w:b/>
          <w:color w:val="auto"/>
          <w:kern w:val="0"/>
          <w:sz w:val="24"/>
          <w:szCs w:val="24"/>
          <w:highlight w:val="none"/>
          <w:lang w:val="zh-CN"/>
        </w:rPr>
      </w:pPr>
    </w:p>
    <w:p>
      <w:pPr>
        <w:snapToGrid w:val="0"/>
        <w:spacing w:line="360" w:lineRule="auto"/>
        <w:contextualSpacing/>
        <w:rPr>
          <w:rFonts w:ascii="仿宋" w:hAnsi="仿宋" w:eastAsia="仿宋" w:cs="宋体"/>
          <w:b/>
          <w:color w:val="auto"/>
          <w:kern w:val="0"/>
          <w:sz w:val="24"/>
          <w:szCs w:val="24"/>
          <w:highlight w:val="none"/>
          <w:lang w:val="zh-CN"/>
        </w:rPr>
      </w:pPr>
    </w:p>
    <w:p>
      <w:pPr>
        <w:snapToGrid w:val="0"/>
        <w:spacing w:line="360" w:lineRule="auto"/>
        <w:contextualSpacing/>
        <w:rPr>
          <w:rFonts w:ascii="仿宋" w:hAnsi="仿宋" w:eastAsia="仿宋" w:cs="宋体"/>
          <w:b/>
          <w:color w:val="auto"/>
          <w:kern w:val="0"/>
          <w:sz w:val="24"/>
          <w:szCs w:val="24"/>
          <w:highlight w:val="none"/>
          <w:lang w:val="zh-CN"/>
        </w:rPr>
      </w:pPr>
    </w:p>
    <w:p>
      <w:pPr>
        <w:snapToGrid w:val="0"/>
        <w:spacing w:line="360" w:lineRule="auto"/>
        <w:contextualSpacing/>
        <w:rPr>
          <w:rFonts w:ascii="仿宋" w:hAnsi="仿宋" w:eastAsia="仿宋" w:cs="Times New Roman"/>
          <w:color w:val="auto"/>
          <w:kern w:val="0"/>
          <w:sz w:val="24"/>
          <w:szCs w:val="24"/>
          <w:highlight w:val="none"/>
          <w:lang w:val="zh-CN"/>
        </w:rPr>
      </w:pPr>
      <w:r>
        <w:rPr>
          <w:rFonts w:ascii="仿宋" w:hAnsi="仿宋" w:eastAsia="仿宋" w:cs="Times New Roman"/>
          <w:color w:val="auto"/>
          <w:kern w:val="0"/>
          <w:sz w:val="24"/>
          <w:szCs w:val="24"/>
          <w:highlight w:val="none"/>
          <w:lang w:val="zh-CN"/>
        </w:rPr>
        <w:t>附件3</w:t>
      </w:r>
    </w:p>
    <w:p>
      <w:pPr>
        <w:spacing w:line="360" w:lineRule="auto"/>
        <w:jc w:val="center"/>
        <w:rPr>
          <w:rFonts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rPr>
        <w:t>法定代表人授权委托书</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本人</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（姓名）系</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（授权单位名称）的法定代表人，现委托</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（姓名）（身份证号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）为我方代理人，以我方名义全权处理与本次采购项目（编号：</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）有关的一切事务，其法律后果由我方承担。</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本授权书于</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年</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月</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日起生效。代理人无转委托权。</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代理人(被授权人):</w:t>
      </w:r>
      <w:r>
        <w:rPr>
          <w:rFonts w:ascii="仿宋" w:hAnsi="仿宋" w:eastAsia="仿宋" w:cs="Times New Roman"/>
          <w:color w:val="auto"/>
          <w:sz w:val="24"/>
          <w:szCs w:val="24"/>
          <w:highlight w:val="none"/>
          <w:u w:val="single"/>
        </w:rPr>
        <w:t xml:space="preserve">        </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授权单位名称（盖章）：</w:t>
      </w:r>
      <w:r>
        <w:rPr>
          <w:rFonts w:ascii="仿宋" w:hAnsi="仿宋" w:eastAsia="仿宋" w:cs="Times New Roman"/>
          <w:color w:val="auto"/>
          <w:sz w:val="24"/>
          <w:szCs w:val="24"/>
          <w:highlight w:val="none"/>
          <w:u w:val="single"/>
        </w:rPr>
        <w:t xml:space="preserve">        </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授权单位法定代表人（签字或盖章）：</w:t>
      </w:r>
      <w:r>
        <w:rPr>
          <w:rFonts w:ascii="仿宋" w:hAnsi="仿宋" w:eastAsia="仿宋" w:cs="Times New Roman"/>
          <w:color w:val="auto"/>
          <w:sz w:val="24"/>
          <w:szCs w:val="24"/>
          <w:highlight w:val="none"/>
          <w:u w:val="single"/>
        </w:rPr>
        <w:t xml:space="preserve">        </w:t>
      </w:r>
    </w:p>
    <w:p>
      <w:pPr>
        <w:spacing w:line="360" w:lineRule="auto"/>
        <w:jc w:val="right"/>
        <w:rPr>
          <w:rFonts w:ascii="仿宋" w:hAnsi="仿宋" w:eastAsia="仿宋" w:cs="Times New Roman"/>
          <w:color w:val="auto"/>
          <w:sz w:val="24"/>
          <w:szCs w:val="24"/>
          <w:highlight w:val="none"/>
        </w:rPr>
      </w:pPr>
    </w:p>
    <w:p>
      <w:pPr>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bCs/>
          <w:color w:val="auto"/>
          <w:sz w:val="24"/>
          <w:szCs w:val="24"/>
          <w:highlight w:val="none"/>
          <w:u w:val="single"/>
        </w:rPr>
        <w:t>______</w:t>
      </w:r>
      <w:r>
        <w:rPr>
          <w:rFonts w:hint="eastAsia" w:ascii="仿宋" w:hAnsi="仿宋" w:eastAsia="仿宋" w:cs="Times New Roman"/>
          <w:bCs/>
          <w:color w:val="auto"/>
          <w:sz w:val="24"/>
          <w:szCs w:val="24"/>
          <w:highlight w:val="none"/>
        </w:rPr>
        <w:t>年</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月</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日</w:t>
      </w:r>
    </w:p>
    <w:p>
      <w:pPr>
        <w:snapToGrid w:val="0"/>
        <w:spacing w:line="360" w:lineRule="auto"/>
        <w:contextualSpacing/>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注：提供</w:t>
      </w:r>
      <w:r>
        <w:rPr>
          <w:rFonts w:ascii="仿宋" w:hAnsi="仿宋" w:eastAsia="仿宋" w:cs="宋体"/>
          <w:b/>
          <w:color w:val="auto"/>
          <w:kern w:val="0"/>
          <w:sz w:val="24"/>
          <w:szCs w:val="24"/>
          <w:highlight w:val="none"/>
        </w:rPr>
        <w:t>投标代表本人身份证复印件</w:t>
      </w:r>
      <w:r>
        <w:rPr>
          <w:rFonts w:hint="eastAsia" w:ascii="仿宋" w:hAnsi="仿宋" w:eastAsia="仿宋" w:cs="宋体"/>
          <w:b/>
          <w:color w:val="auto"/>
          <w:kern w:val="0"/>
          <w:sz w:val="24"/>
          <w:szCs w:val="24"/>
          <w:highlight w:val="none"/>
        </w:rPr>
        <w:t>盖公章</w:t>
      </w: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附件4</w:t>
      </w:r>
    </w:p>
    <w:p>
      <w:pPr>
        <w:tabs>
          <w:tab w:val="left" w:pos="1260"/>
        </w:tabs>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供应商情况一览表</w:t>
      </w:r>
    </w:p>
    <w:tbl>
      <w:tblPr>
        <w:tblStyle w:val="15"/>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
        <w:gridCol w:w="690"/>
        <w:gridCol w:w="367"/>
        <w:gridCol w:w="1050"/>
        <w:gridCol w:w="728"/>
        <w:gridCol w:w="953"/>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3"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单位名称</w:t>
            </w:r>
          </w:p>
        </w:tc>
        <w:tc>
          <w:tcPr>
            <w:tcW w:w="7930" w:type="dxa"/>
            <w:gridSpan w:val="10"/>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单位优势及特长</w:t>
            </w:r>
          </w:p>
        </w:tc>
        <w:tc>
          <w:tcPr>
            <w:tcW w:w="7240" w:type="dxa"/>
            <w:gridSpan w:val="9"/>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单位</w:t>
            </w:r>
          </w:p>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概况</w:t>
            </w:r>
          </w:p>
        </w:tc>
        <w:tc>
          <w:tcPr>
            <w:tcW w:w="127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职工总数</w:t>
            </w:r>
          </w:p>
        </w:tc>
        <w:tc>
          <w:tcPr>
            <w:tcW w:w="1417" w:type="dxa"/>
            <w:gridSpan w:val="2"/>
            <w:vAlign w:val="center"/>
          </w:tcPr>
          <w:p>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人</w:t>
            </w:r>
          </w:p>
        </w:tc>
        <w:tc>
          <w:tcPr>
            <w:tcW w:w="728" w:type="dxa"/>
            <w:vMerge w:val="restart"/>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上一年主要经济指标</w:t>
            </w:r>
          </w:p>
        </w:tc>
        <w:tc>
          <w:tcPr>
            <w:tcW w:w="946" w:type="dxa"/>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营业额</w:t>
            </w:r>
          </w:p>
        </w:tc>
        <w:tc>
          <w:tcPr>
            <w:tcW w:w="1414"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184"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实现利润</w:t>
            </w:r>
          </w:p>
        </w:tc>
        <w:tc>
          <w:tcPr>
            <w:tcW w:w="1544" w:type="dxa"/>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流动资金</w:t>
            </w:r>
          </w:p>
        </w:tc>
        <w:tc>
          <w:tcPr>
            <w:tcW w:w="1417" w:type="dxa"/>
            <w:gridSpan w:val="2"/>
            <w:vAlign w:val="center"/>
          </w:tcPr>
          <w:p>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万元</w:t>
            </w:r>
          </w:p>
        </w:tc>
        <w:tc>
          <w:tcPr>
            <w:tcW w:w="728"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Merge w:val="restart"/>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主要</w:t>
            </w:r>
          </w:p>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w:t>
            </w: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固定资产</w:t>
            </w:r>
          </w:p>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（万元）</w:t>
            </w:r>
          </w:p>
        </w:tc>
        <w:tc>
          <w:tcPr>
            <w:tcW w:w="1417" w:type="dxa"/>
            <w:gridSpan w:val="2"/>
            <w:vAlign w:val="center"/>
          </w:tcPr>
          <w:p>
            <w:pPr>
              <w:tabs>
                <w:tab w:val="left" w:pos="-48"/>
                <w:tab w:val="left" w:pos="4320"/>
              </w:tabs>
              <w:spacing w:line="360" w:lineRule="auto"/>
              <w:ind w:right="-133" w:hanging="4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原值：</w:t>
            </w:r>
          </w:p>
          <w:p>
            <w:pPr>
              <w:tabs>
                <w:tab w:val="left" w:pos="-48"/>
                <w:tab w:val="left" w:pos="4320"/>
              </w:tabs>
              <w:spacing w:line="360" w:lineRule="auto"/>
              <w:ind w:right="-133" w:hanging="48"/>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净值：</w:t>
            </w:r>
          </w:p>
        </w:tc>
        <w:tc>
          <w:tcPr>
            <w:tcW w:w="728"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Merge w:val="continue"/>
            <w:vAlign w:val="center"/>
          </w:tcPr>
          <w:p>
            <w:pPr>
              <w:tabs>
                <w:tab w:val="left" w:pos="4320"/>
              </w:tabs>
              <w:spacing w:line="360" w:lineRule="auto"/>
              <w:jc w:val="center"/>
              <w:rPr>
                <w:rFonts w:ascii="仿宋" w:hAnsi="仿宋" w:eastAsia="仿宋" w:cs="Times New Roman"/>
                <w:color w:val="auto"/>
                <w:sz w:val="24"/>
                <w:szCs w:val="24"/>
                <w:highlight w:val="none"/>
              </w:rPr>
            </w:pP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p>
        </w:tc>
        <w:tc>
          <w:tcPr>
            <w:tcW w:w="127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占地面积</w:t>
            </w:r>
          </w:p>
        </w:tc>
        <w:tc>
          <w:tcPr>
            <w:tcW w:w="1417" w:type="dxa"/>
            <w:gridSpan w:val="2"/>
            <w:vAlign w:val="center"/>
          </w:tcPr>
          <w:p>
            <w:pPr>
              <w:tabs>
                <w:tab w:val="left" w:pos="4320"/>
              </w:tabs>
              <w:spacing w:line="360" w:lineRule="auto"/>
              <w:jc w:val="right"/>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M</w:t>
            </w:r>
            <w:r>
              <w:rPr>
                <w:rFonts w:hint="eastAsia" w:ascii="仿宋" w:hAnsi="仿宋" w:eastAsia="仿宋" w:cs="Times New Roman"/>
                <w:color w:val="auto"/>
                <w:sz w:val="24"/>
                <w:szCs w:val="24"/>
                <w:highlight w:val="none"/>
                <w:vertAlign w:val="superscript"/>
              </w:rPr>
              <w:t>2</w:t>
            </w:r>
          </w:p>
        </w:tc>
        <w:tc>
          <w:tcPr>
            <w:tcW w:w="728"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Merge w:val="continue"/>
            <w:vAlign w:val="center"/>
          </w:tcPr>
          <w:p>
            <w:pPr>
              <w:tabs>
                <w:tab w:val="left" w:pos="4320"/>
              </w:tabs>
              <w:spacing w:line="360" w:lineRule="auto"/>
              <w:jc w:val="center"/>
              <w:rPr>
                <w:rFonts w:ascii="仿宋" w:hAnsi="仿宋" w:eastAsia="仿宋" w:cs="Times New Roman"/>
                <w:color w:val="auto"/>
                <w:sz w:val="24"/>
                <w:szCs w:val="24"/>
                <w:highlight w:val="none"/>
              </w:rPr>
            </w:pP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本次</w:t>
            </w:r>
          </w:p>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投标</w:t>
            </w:r>
          </w:p>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w:t>
            </w:r>
          </w:p>
          <w:p>
            <w:pPr>
              <w:tabs>
                <w:tab w:val="left" w:pos="4320"/>
              </w:tabs>
              <w:spacing w:line="360" w:lineRule="auto"/>
              <w:ind w:left="266" w:hanging="266" w:hangingChars="111"/>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情况</w:t>
            </w:r>
          </w:p>
        </w:tc>
        <w:tc>
          <w:tcPr>
            <w:tcW w:w="1643" w:type="dxa"/>
            <w:gridSpan w:val="3"/>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本次投标</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产品名称</w:t>
            </w:r>
          </w:p>
        </w:tc>
        <w:tc>
          <w:tcPr>
            <w:tcW w:w="1778"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型    号</w:t>
            </w:r>
          </w:p>
        </w:tc>
        <w:tc>
          <w:tcPr>
            <w:tcW w:w="946" w:type="dxa"/>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上年</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产销量</w:t>
            </w:r>
          </w:p>
        </w:tc>
        <w:tc>
          <w:tcPr>
            <w:tcW w:w="1263" w:type="dxa"/>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产品技术</w:t>
            </w:r>
          </w:p>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先进水平</w:t>
            </w:r>
          </w:p>
        </w:tc>
        <w:tc>
          <w:tcPr>
            <w:tcW w:w="1273"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曾获何级</w:t>
            </w:r>
          </w:p>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何种奖励</w:t>
            </w:r>
          </w:p>
        </w:tc>
        <w:tc>
          <w:tcPr>
            <w:tcW w:w="1606" w:type="dxa"/>
            <w:gridSpan w:val="2"/>
            <w:vAlign w:val="center"/>
          </w:tcPr>
          <w:p>
            <w:pPr>
              <w:tabs>
                <w:tab w:val="left" w:pos="4320"/>
              </w:tabs>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主要用户</w:t>
            </w:r>
            <w:r>
              <w:rPr>
                <w:rFonts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1643" w:type="dxa"/>
            <w:gridSpan w:val="3"/>
            <w:vAlign w:val="center"/>
          </w:tcPr>
          <w:p>
            <w:pPr>
              <w:tabs>
                <w:tab w:val="left" w:pos="4320"/>
              </w:tabs>
              <w:spacing w:line="360" w:lineRule="auto"/>
              <w:rPr>
                <w:rFonts w:ascii="仿宋" w:hAnsi="仿宋" w:eastAsia="仿宋" w:cs="Times New Roman"/>
                <w:color w:val="auto"/>
                <w:sz w:val="24"/>
                <w:szCs w:val="24"/>
                <w:highlight w:val="none"/>
              </w:rPr>
            </w:pPr>
          </w:p>
        </w:tc>
        <w:tc>
          <w:tcPr>
            <w:tcW w:w="1778"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946"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63" w:type="dxa"/>
            <w:vAlign w:val="center"/>
          </w:tcPr>
          <w:p>
            <w:pPr>
              <w:tabs>
                <w:tab w:val="left" w:pos="4320"/>
              </w:tabs>
              <w:spacing w:line="360" w:lineRule="auto"/>
              <w:rPr>
                <w:rFonts w:ascii="仿宋" w:hAnsi="仿宋" w:eastAsia="仿宋" w:cs="Times New Roman"/>
                <w:color w:val="auto"/>
                <w:sz w:val="24"/>
                <w:szCs w:val="24"/>
                <w:highlight w:val="none"/>
              </w:rPr>
            </w:pPr>
          </w:p>
        </w:tc>
        <w:tc>
          <w:tcPr>
            <w:tcW w:w="1273" w:type="dxa"/>
            <w:gridSpan w:val="2"/>
            <w:vAlign w:val="center"/>
          </w:tcPr>
          <w:p>
            <w:pPr>
              <w:tabs>
                <w:tab w:val="left" w:pos="4320"/>
              </w:tabs>
              <w:spacing w:line="360" w:lineRule="auto"/>
              <w:rPr>
                <w:rFonts w:ascii="仿宋" w:hAnsi="仿宋" w:eastAsia="仿宋" w:cs="Times New Roman"/>
                <w:color w:val="auto"/>
                <w:sz w:val="24"/>
                <w:szCs w:val="24"/>
                <w:highlight w:val="none"/>
              </w:rPr>
            </w:pPr>
          </w:p>
        </w:tc>
        <w:tc>
          <w:tcPr>
            <w:tcW w:w="1606" w:type="dxa"/>
            <w:gridSpan w:val="2"/>
            <w:vAlign w:val="center"/>
          </w:tcPr>
          <w:p>
            <w:pPr>
              <w:tabs>
                <w:tab w:val="left" w:pos="4320"/>
              </w:tabs>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其它</w:t>
            </w:r>
          </w:p>
        </w:tc>
        <w:tc>
          <w:tcPr>
            <w:tcW w:w="4374" w:type="dxa"/>
            <w:gridSpan w:val="6"/>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近3年完成及正在执行的合同中发生的由于供应商违约或部分违约而引起诉讼和受到索赔的案件具体情况及结果（须如实填写，若对此进行隐瞒，尔后又被采购人或</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rPr>
              <w:t>发现，或被它人举证成立，其询价资格将被取消）。</w:t>
            </w: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817" w:type="dxa"/>
            <w:vMerge w:val="continue"/>
            <w:vAlign w:val="center"/>
          </w:tcPr>
          <w:p>
            <w:pPr>
              <w:tabs>
                <w:tab w:val="left" w:pos="4320"/>
              </w:tabs>
              <w:spacing w:line="360" w:lineRule="auto"/>
              <w:rPr>
                <w:rFonts w:ascii="仿宋" w:hAnsi="仿宋" w:eastAsia="仿宋" w:cs="Times New Roman"/>
                <w:color w:val="auto"/>
                <w:sz w:val="24"/>
                <w:szCs w:val="24"/>
                <w:highlight w:val="none"/>
              </w:rPr>
            </w:pPr>
          </w:p>
        </w:tc>
        <w:tc>
          <w:tcPr>
            <w:tcW w:w="4374" w:type="dxa"/>
            <w:gridSpan w:val="6"/>
            <w:vAlign w:val="center"/>
          </w:tcPr>
          <w:p>
            <w:pPr>
              <w:tabs>
                <w:tab w:val="left" w:pos="4320"/>
              </w:tabs>
              <w:spacing w:line="360" w:lineRule="auto"/>
              <w:rPr>
                <w:rFonts w:ascii="仿宋" w:hAnsi="仿宋" w:eastAsia="仿宋" w:cs="Times New Roman"/>
                <w:color w:val="auto"/>
                <w:sz w:val="24"/>
                <w:szCs w:val="24"/>
                <w:highlight w:val="none"/>
              </w:rPr>
            </w:pPr>
          </w:p>
        </w:tc>
        <w:tc>
          <w:tcPr>
            <w:tcW w:w="4142" w:type="dxa"/>
            <w:gridSpan w:val="5"/>
            <w:vAlign w:val="center"/>
          </w:tcPr>
          <w:p>
            <w:pPr>
              <w:tabs>
                <w:tab w:val="left" w:pos="4320"/>
              </w:tabs>
              <w:spacing w:line="360" w:lineRule="auto"/>
              <w:rPr>
                <w:rFonts w:ascii="仿宋" w:hAnsi="仿宋" w:eastAsia="仿宋" w:cs="Times New Roman"/>
                <w:color w:val="auto"/>
                <w:sz w:val="24"/>
                <w:szCs w:val="24"/>
                <w:highlight w:val="none"/>
              </w:rPr>
            </w:pPr>
          </w:p>
        </w:tc>
      </w:tr>
    </w:tbl>
    <w:p>
      <w:pPr>
        <w:snapToGrid w:val="0"/>
        <w:spacing w:line="360" w:lineRule="auto"/>
        <w:contextualSpacing/>
        <w:rPr>
          <w:rFonts w:ascii="仿宋" w:hAnsi="仿宋" w:eastAsia="仿宋" w:cs="Times New Roman"/>
          <w:color w:val="auto"/>
          <w:kern w:val="0"/>
          <w:sz w:val="24"/>
          <w:szCs w:val="24"/>
          <w:highlight w:val="none"/>
        </w:rPr>
      </w:pP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附件5</w:t>
      </w:r>
    </w:p>
    <w:p>
      <w:pPr>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商务部分正负偏离表</w:t>
      </w:r>
    </w:p>
    <w:p>
      <w:pPr>
        <w:spacing w:line="360" w:lineRule="auto"/>
        <w:ind w:firstLine="480" w:firstLineChars="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（由供应商据实填写，表格不够自行添加）</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1254"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货物或服务名称</w:t>
            </w:r>
          </w:p>
        </w:tc>
        <w:tc>
          <w:tcPr>
            <w:tcW w:w="1095"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采购文件要求的商务条款</w:t>
            </w:r>
          </w:p>
        </w:tc>
        <w:tc>
          <w:tcPr>
            <w:tcW w:w="1413"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响应文件响应情况</w:t>
            </w:r>
          </w:p>
        </w:tc>
        <w:tc>
          <w:tcPr>
            <w:tcW w:w="778" w:type="pct"/>
          </w:tcPr>
          <w:p>
            <w:pPr>
              <w:spacing w:line="360" w:lineRule="auto"/>
              <w:jc w:val="center"/>
              <w:rPr>
                <w:rFonts w:ascii="仿宋" w:hAnsi="仿宋" w:eastAsia="仿宋" w:cs="Times New Roman"/>
                <w:color w:val="auto"/>
                <w:sz w:val="24"/>
                <w:szCs w:val="24"/>
                <w:highlight w:val="none"/>
              </w:rPr>
            </w:pPr>
          </w:p>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bl>
    <w:p>
      <w:pPr>
        <w:snapToGrid w:val="0"/>
        <w:spacing w:line="360" w:lineRule="auto"/>
        <w:contextualSpacing/>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1.供应商提交的响应文件中与采购文件第三部分“项目需求”中的商务部分的要求，应逐条填列在偏离表中。</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2.“偏离说明”一栏选择“正偏离”、“无偏离”、“负偏离”进行填写。正偏离、无偏离的确认和负偏离的是否响应招标文件，由评委认定。</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3.供应商如果虚假响应，将被暂停参加采购人组织采购活动。</w:t>
      </w:r>
    </w:p>
    <w:p>
      <w:pPr>
        <w:snapToGrid w:val="0"/>
        <w:spacing w:line="360" w:lineRule="auto"/>
        <w:ind w:firstLine="480" w:firstLineChars="200"/>
        <w:contextualSpacing/>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4.供应商若提供其他增值服务，可以在表中自行据实填写。</w:t>
      </w: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附件6</w:t>
      </w:r>
    </w:p>
    <w:p>
      <w:pPr>
        <w:snapToGrid w:val="0"/>
        <w:spacing w:line="360" w:lineRule="auto"/>
        <w:contextualSpacing/>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技术部分正负偏离表</w:t>
      </w:r>
    </w:p>
    <w:p>
      <w:pPr>
        <w:spacing w:line="360" w:lineRule="auto"/>
        <w:ind w:firstLine="480" w:firstLineChars="200"/>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（由供应商据实填写，表格不够自行添加）</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1254"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货物或服务名称</w:t>
            </w:r>
          </w:p>
        </w:tc>
        <w:tc>
          <w:tcPr>
            <w:tcW w:w="1095"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采购文件要求的技术要求</w:t>
            </w:r>
          </w:p>
        </w:tc>
        <w:tc>
          <w:tcPr>
            <w:tcW w:w="1413" w:type="pct"/>
            <w:vAlign w:val="center"/>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响应文件响应情况</w:t>
            </w:r>
          </w:p>
        </w:tc>
        <w:tc>
          <w:tcPr>
            <w:tcW w:w="778" w:type="pct"/>
          </w:tcPr>
          <w:p>
            <w:pPr>
              <w:spacing w:line="360" w:lineRule="auto"/>
              <w:jc w:val="center"/>
              <w:rPr>
                <w:rFonts w:ascii="仿宋" w:hAnsi="仿宋" w:eastAsia="仿宋" w:cs="Times New Roman"/>
                <w:color w:val="auto"/>
                <w:sz w:val="24"/>
                <w:szCs w:val="24"/>
                <w:highlight w:val="none"/>
              </w:rPr>
            </w:pPr>
          </w:p>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254" w:type="pct"/>
            <w:vAlign w:val="center"/>
          </w:tcPr>
          <w:p>
            <w:pPr>
              <w:spacing w:line="360" w:lineRule="auto"/>
              <w:jc w:val="left"/>
              <w:rPr>
                <w:rFonts w:ascii="仿宋" w:hAnsi="仿宋" w:eastAsia="仿宋" w:cs="Times New Roman"/>
                <w:color w:val="auto"/>
                <w:sz w:val="24"/>
                <w:szCs w:val="24"/>
                <w:highlight w:val="none"/>
              </w:rPr>
            </w:pPr>
          </w:p>
        </w:tc>
        <w:tc>
          <w:tcPr>
            <w:tcW w:w="1095" w:type="pct"/>
            <w:vAlign w:val="center"/>
          </w:tcPr>
          <w:p>
            <w:pPr>
              <w:spacing w:line="360" w:lineRule="auto"/>
              <w:jc w:val="left"/>
              <w:rPr>
                <w:rFonts w:ascii="仿宋" w:hAnsi="仿宋" w:eastAsia="仿宋" w:cs="Times New Roman"/>
                <w:color w:val="auto"/>
                <w:sz w:val="24"/>
                <w:szCs w:val="24"/>
                <w:highlight w:val="none"/>
              </w:rPr>
            </w:pPr>
          </w:p>
        </w:tc>
        <w:tc>
          <w:tcPr>
            <w:tcW w:w="1413" w:type="pct"/>
            <w:vAlign w:val="center"/>
          </w:tcPr>
          <w:p>
            <w:pPr>
              <w:spacing w:line="360" w:lineRule="auto"/>
              <w:jc w:val="left"/>
              <w:rPr>
                <w:rFonts w:ascii="仿宋" w:hAnsi="仿宋" w:eastAsia="仿宋" w:cs="Times New Roman"/>
                <w:color w:val="auto"/>
                <w:sz w:val="24"/>
                <w:szCs w:val="24"/>
                <w:highlight w:val="none"/>
              </w:rPr>
            </w:pPr>
          </w:p>
        </w:tc>
        <w:tc>
          <w:tcPr>
            <w:tcW w:w="778" w:type="pct"/>
          </w:tcPr>
          <w:p>
            <w:pPr>
              <w:spacing w:line="360" w:lineRule="auto"/>
              <w:jc w:val="left"/>
              <w:rPr>
                <w:rFonts w:ascii="仿宋" w:hAnsi="仿宋" w:eastAsia="仿宋" w:cs="Times New Roman"/>
                <w:color w:val="auto"/>
                <w:sz w:val="24"/>
                <w:szCs w:val="24"/>
                <w:highlight w:val="none"/>
              </w:rPr>
            </w:pPr>
          </w:p>
        </w:tc>
      </w:tr>
    </w:tbl>
    <w:p>
      <w:pPr>
        <w:snapToGrid w:val="0"/>
        <w:spacing w:line="360" w:lineRule="auto"/>
        <w:contextualSpacing/>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注：</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1.供应商提交的响应文件中与采购文件第三部分“项目需求”中的技术部分的要求，应逐条填列在偏离表中。</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2.“偏离说明”一栏选择“正偏离”、“无偏离”、“负偏离”进行填写。正偏离、无偏离的确认和负偏离的是否响应招标文件，由评委认定。</w:t>
      </w:r>
    </w:p>
    <w:p>
      <w:pPr>
        <w:snapToGrid w:val="0"/>
        <w:spacing w:line="360" w:lineRule="auto"/>
        <w:ind w:firstLine="480" w:firstLineChars="200"/>
        <w:contextualSpacing/>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3.供应商如果虚假响应，将被暂停参加采购人组织采购活动。</w:t>
      </w:r>
    </w:p>
    <w:p>
      <w:pPr>
        <w:snapToGrid w:val="0"/>
        <w:spacing w:line="360" w:lineRule="auto"/>
        <w:ind w:firstLine="480" w:firstLineChars="200"/>
        <w:contextualSpacing/>
        <w:rPr>
          <w:rFonts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4.供应商若提供其他增值服务，可以在表中自行据实填写。</w:t>
      </w: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附件7</w:t>
      </w:r>
    </w:p>
    <w:p>
      <w:pPr>
        <w:widowControl/>
        <w:spacing w:line="360" w:lineRule="auto"/>
        <w:jc w:val="center"/>
        <w:rPr>
          <w:rFonts w:ascii="仿宋" w:hAnsi="仿宋" w:eastAsia="仿宋" w:cs="宋体"/>
          <w:color w:val="auto"/>
          <w:kern w:val="0"/>
          <w:sz w:val="24"/>
          <w:szCs w:val="24"/>
          <w:highlight w:val="none"/>
        </w:rPr>
      </w:pPr>
      <w:r>
        <w:rPr>
          <w:rFonts w:hint="eastAsia" w:ascii="仿宋" w:hAnsi="仿宋" w:eastAsia="仿宋" w:cs="宋体"/>
          <w:b/>
          <w:bCs/>
          <w:color w:val="auto"/>
          <w:kern w:val="0"/>
          <w:sz w:val="24"/>
          <w:szCs w:val="24"/>
          <w:highlight w:val="none"/>
        </w:rPr>
        <w:t>报价总表</w:t>
      </w:r>
    </w:p>
    <w:p>
      <w:pPr>
        <w:spacing w:line="360" w:lineRule="auto"/>
        <w:rPr>
          <w:rFonts w:ascii="仿宋" w:hAnsi="仿宋" w:eastAsia="仿宋" w:cs="宋体"/>
          <w:color w:val="auto"/>
          <w:kern w:val="0"/>
          <w:sz w:val="24"/>
          <w:szCs w:val="24"/>
          <w:highlight w:val="none"/>
          <w:u w:val="single"/>
        </w:rPr>
      </w:pPr>
      <w:r>
        <w:rPr>
          <w:rFonts w:ascii="仿宋" w:hAnsi="仿宋" w:eastAsia="仿宋" w:cs="宋体"/>
          <w:color w:val="auto"/>
          <w:kern w:val="0"/>
          <w:sz w:val="24"/>
          <w:szCs w:val="24"/>
          <w:highlight w:val="none"/>
        </w:rPr>
        <w:t>供应商全称（加盖公章）：</w:t>
      </w:r>
    </w:p>
    <w:p>
      <w:pPr>
        <w:spacing w:line="360" w:lineRule="auto"/>
        <w:rPr>
          <w:rFonts w:ascii="仿宋" w:hAnsi="仿宋" w:eastAsia="仿宋" w:cs="宋体"/>
          <w:color w:val="auto"/>
          <w:kern w:val="0"/>
          <w:sz w:val="24"/>
          <w:szCs w:val="24"/>
          <w:highlight w:val="none"/>
          <w:u w:val="single"/>
        </w:rPr>
      </w:pPr>
      <w:r>
        <w:rPr>
          <w:rFonts w:ascii="仿宋" w:hAnsi="仿宋" w:eastAsia="仿宋" w:cs="宋体"/>
          <w:color w:val="auto"/>
          <w:kern w:val="0"/>
          <w:sz w:val="24"/>
          <w:szCs w:val="24"/>
          <w:highlight w:val="none"/>
        </w:rPr>
        <w:t>项目名称：</w:t>
      </w:r>
    </w:p>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项目编号：</w:t>
      </w:r>
    </w:p>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分包号：</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宋体"/>
                <w:color w:val="auto"/>
                <w:kern w:val="0"/>
                <w:sz w:val="24"/>
                <w:szCs w:val="24"/>
                <w:highlight w:val="none"/>
              </w:rPr>
              <w:t>询价</w:t>
            </w:r>
            <w:r>
              <w:rPr>
                <w:rFonts w:ascii="仿宋" w:hAnsi="仿宋" w:eastAsia="仿宋" w:cs="宋体"/>
                <w:color w:val="auto"/>
                <w:kern w:val="0"/>
                <w:sz w:val="24"/>
                <w:szCs w:val="24"/>
                <w:highlight w:val="none"/>
              </w:rPr>
              <w:t>货物名称</w:t>
            </w:r>
          </w:p>
        </w:tc>
        <w:tc>
          <w:tcPr>
            <w:tcW w:w="4607" w:type="dxa"/>
          </w:tcPr>
          <w:p>
            <w:pPr>
              <w:spacing w:line="360" w:lineRule="auto"/>
              <w:jc w:val="center"/>
              <w:rPr>
                <w:rFonts w:ascii="仿宋" w:hAnsi="仿宋" w:eastAsia="仿宋" w:cs="Times New Roman"/>
                <w:color w:val="auto"/>
                <w:sz w:val="24"/>
                <w:szCs w:val="24"/>
                <w:highlight w:val="none"/>
              </w:rPr>
            </w:pPr>
            <w:r>
              <w:rPr>
                <w:rFonts w:hint="eastAsia" w:ascii="仿宋" w:hAnsi="仿宋" w:eastAsia="仿宋" w:cs="宋体"/>
                <w:color w:val="auto"/>
                <w:kern w:val="0"/>
                <w:sz w:val="24"/>
                <w:szCs w:val="24"/>
                <w:highlight w:val="none"/>
              </w:rPr>
              <w:t>询价</w:t>
            </w:r>
            <w:r>
              <w:rPr>
                <w:rFonts w:ascii="仿宋" w:hAnsi="仿宋" w:eastAsia="仿宋" w:cs="宋体"/>
                <w:color w:val="auto"/>
                <w:kern w:val="0"/>
                <w:sz w:val="24"/>
                <w:szCs w:val="24"/>
                <w:highlight w:val="none"/>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spacing w:line="360" w:lineRule="auto"/>
              <w:rPr>
                <w:rFonts w:ascii="仿宋" w:hAnsi="仿宋" w:eastAsia="仿宋" w:cs="Times New Roman"/>
                <w:color w:val="auto"/>
                <w:sz w:val="24"/>
                <w:szCs w:val="24"/>
                <w:highlight w:val="none"/>
              </w:rPr>
            </w:pPr>
          </w:p>
        </w:tc>
        <w:tc>
          <w:tcPr>
            <w:tcW w:w="4607" w:type="dxa"/>
          </w:tcPr>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大写：</w:t>
            </w:r>
          </w:p>
          <w:p>
            <w:pPr>
              <w:spacing w:line="360" w:lineRule="auto"/>
              <w:rPr>
                <w:rFonts w:ascii="仿宋" w:hAnsi="仿宋" w:eastAsia="仿宋" w:cs="Times New Roman"/>
                <w:color w:val="auto"/>
                <w:sz w:val="24"/>
                <w:szCs w:val="24"/>
                <w:highlight w:val="none"/>
                <w:u w:val="single"/>
              </w:rPr>
            </w:pPr>
            <w:r>
              <w:rPr>
                <w:rFonts w:ascii="仿宋" w:hAnsi="仿宋" w:eastAsia="仿宋" w:cs="宋体"/>
                <w:color w:val="auto"/>
                <w:kern w:val="0"/>
                <w:sz w:val="24"/>
                <w:szCs w:val="24"/>
                <w:highlight w:val="none"/>
              </w:rPr>
              <w:t>小写：</w:t>
            </w:r>
            <w:r>
              <w:rPr>
                <w:rFonts w:hint="eastAsia" w:ascii="仿宋" w:hAnsi="仿宋" w:eastAsia="仿宋" w:cs="宋体"/>
                <w:color w:val="auto"/>
                <w:kern w:val="0"/>
                <w:sz w:val="24"/>
                <w:szCs w:val="24"/>
                <w:highlight w:val="none"/>
                <w:lang w:val="en-US" w:eastAsia="zh-CN"/>
              </w:rPr>
              <w:t>元</w:t>
            </w:r>
            <w:r>
              <w:rPr>
                <w:rFonts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lang w:val="en-US" w:eastAsia="zh-CN"/>
              </w:rPr>
              <w:t>人民币</w:t>
            </w:r>
            <w:r>
              <w:rPr>
                <w:rFonts w:ascii="仿宋" w:hAnsi="仿宋" w:eastAsia="仿宋"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rPr>
                <w:rFonts w:ascii="仿宋" w:hAnsi="仿宋" w:eastAsia="仿宋" w:cs="Times New Roman"/>
                <w:color w:val="auto"/>
                <w:sz w:val="24"/>
                <w:szCs w:val="24"/>
                <w:highlight w:val="none"/>
              </w:rPr>
            </w:pPr>
            <w:r>
              <w:rPr>
                <w:rFonts w:ascii="仿宋" w:hAnsi="仿宋" w:eastAsia="仿宋" w:cs="宋体"/>
                <w:color w:val="auto"/>
                <w:kern w:val="0"/>
                <w:sz w:val="24"/>
                <w:szCs w:val="24"/>
                <w:highlight w:val="none"/>
              </w:rPr>
              <w:t>主要货物制造商及产地</w:t>
            </w:r>
          </w:p>
        </w:tc>
        <w:tc>
          <w:tcPr>
            <w:tcW w:w="4607" w:type="dxa"/>
          </w:tcPr>
          <w:p>
            <w:pPr>
              <w:spacing w:line="360" w:lineRule="auto"/>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pPr>
              <w:spacing w:line="360" w:lineRule="auto"/>
              <w:rPr>
                <w:rFonts w:ascii="仿宋" w:hAnsi="仿宋" w:eastAsia="仿宋" w:cs="Times New Roman"/>
                <w:color w:val="auto"/>
                <w:sz w:val="24"/>
                <w:szCs w:val="24"/>
                <w:highlight w:val="none"/>
              </w:rPr>
            </w:pPr>
          </w:p>
        </w:tc>
        <w:tc>
          <w:tcPr>
            <w:tcW w:w="4607" w:type="dxa"/>
          </w:tcPr>
          <w:p>
            <w:pPr>
              <w:spacing w:line="360" w:lineRule="auto"/>
              <w:rPr>
                <w:rFonts w:ascii="仿宋" w:hAnsi="仿宋" w:eastAsia="仿宋" w:cs="Times New Roman"/>
                <w:color w:val="auto"/>
                <w:sz w:val="24"/>
                <w:szCs w:val="24"/>
                <w:highlight w:val="none"/>
              </w:rPr>
            </w:pPr>
          </w:p>
        </w:tc>
      </w:tr>
    </w:tbl>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日期：</w:t>
      </w:r>
    </w:p>
    <w:p>
      <w:pPr>
        <w:spacing w:line="360" w:lineRule="auto"/>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填写说明：</w:t>
      </w:r>
    </w:p>
    <w:p>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r>
        <w:rPr>
          <w:rFonts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rPr>
        <w:t>报价总表</w:t>
      </w:r>
      <w:r>
        <w:rPr>
          <w:rFonts w:ascii="仿宋" w:hAnsi="仿宋" w:eastAsia="仿宋" w:cs="宋体"/>
          <w:color w:val="auto"/>
          <w:kern w:val="0"/>
          <w:sz w:val="24"/>
          <w:szCs w:val="24"/>
          <w:highlight w:val="none"/>
        </w:rPr>
        <w:t>必须加盖</w:t>
      </w:r>
      <w:r>
        <w:rPr>
          <w:rFonts w:hint="eastAsia" w:ascii="仿宋" w:hAnsi="仿宋" w:eastAsia="仿宋" w:cs="宋体"/>
          <w:color w:val="auto"/>
          <w:kern w:val="0"/>
          <w:sz w:val="24"/>
          <w:szCs w:val="24"/>
          <w:highlight w:val="none"/>
        </w:rPr>
        <w:t>供应商</w:t>
      </w:r>
      <w:r>
        <w:rPr>
          <w:rFonts w:ascii="仿宋" w:hAnsi="仿宋" w:eastAsia="仿宋" w:cs="宋体"/>
          <w:color w:val="auto"/>
          <w:kern w:val="0"/>
          <w:sz w:val="24"/>
          <w:szCs w:val="24"/>
          <w:highlight w:val="none"/>
        </w:rPr>
        <w:t>公章（复印件无效）。</w:t>
      </w:r>
    </w:p>
    <w:p>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r>
        <w:rPr>
          <w:rFonts w:ascii="仿宋" w:hAnsi="仿宋" w:eastAsia="仿宋" w:cs="宋体"/>
          <w:color w:val="auto"/>
          <w:kern w:val="0"/>
          <w:sz w:val="24"/>
          <w:szCs w:val="24"/>
          <w:highlight w:val="none"/>
        </w:rPr>
        <w:t>、如有分包，供应商</w:t>
      </w:r>
      <w:r>
        <w:rPr>
          <w:rFonts w:hint="eastAsia" w:ascii="仿宋" w:hAnsi="仿宋" w:eastAsia="仿宋" w:cs="宋体"/>
          <w:color w:val="auto"/>
          <w:kern w:val="0"/>
          <w:sz w:val="24"/>
          <w:szCs w:val="24"/>
          <w:highlight w:val="none"/>
        </w:rPr>
        <w:t>参与</w:t>
      </w:r>
      <w:r>
        <w:rPr>
          <w:rFonts w:ascii="仿宋" w:hAnsi="仿宋" w:eastAsia="仿宋" w:cs="宋体"/>
          <w:color w:val="auto"/>
          <w:kern w:val="0"/>
          <w:sz w:val="24"/>
          <w:szCs w:val="24"/>
          <w:highlight w:val="none"/>
        </w:rPr>
        <w:t>任何一个包的标的，都需单独填写</w:t>
      </w:r>
      <w:r>
        <w:rPr>
          <w:rFonts w:hint="eastAsia" w:ascii="仿宋" w:hAnsi="仿宋" w:eastAsia="仿宋" w:cs="宋体"/>
          <w:color w:val="auto"/>
          <w:kern w:val="0"/>
          <w:sz w:val="24"/>
          <w:szCs w:val="24"/>
          <w:highlight w:val="none"/>
        </w:rPr>
        <w:t>报价总表</w:t>
      </w:r>
      <w:r>
        <w:rPr>
          <w:rFonts w:ascii="仿宋" w:hAnsi="仿宋" w:eastAsia="仿宋" w:cs="宋体"/>
          <w:color w:val="auto"/>
          <w:kern w:val="0"/>
          <w:sz w:val="24"/>
          <w:szCs w:val="24"/>
          <w:highlight w:val="none"/>
        </w:rPr>
        <w:t>。</w:t>
      </w:r>
    </w:p>
    <w:p>
      <w:pPr>
        <w:widowControl/>
        <w:spacing w:line="360" w:lineRule="auto"/>
        <w:jc w:val="left"/>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br w:type="page"/>
      </w:r>
    </w:p>
    <w:p>
      <w:pPr>
        <w:snapToGrid w:val="0"/>
        <w:spacing w:line="360" w:lineRule="auto"/>
        <w:contextualSpacing/>
        <w:rPr>
          <w:rFonts w:ascii="仿宋" w:hAnsi="仿宋" w:eastAsia="仿宋" w:cs="Times New Roman"/>
          <w:color w:val="auto"/>
          <w:kern w:val="0"/>
          <w:sz w:val="24"/>
          <w:szCs w:val="24"/>
          <w:highlight w:val="none"/>
        </w:rPr>
      </w:pPr>
      <w:r>
        <w:rPr>
          <w:rFonts w:ascii="仿宋" w:hAnsi="仿宋" w:eastAsia="仿宋" w:cs="Times New Roman"/>
          <w:color w:val="auto"/>
          <w:kern w:val="0"/>
          <w:sz w:val="24"/>
          <w:szCs w:val="24"/>
          <w:highlight w:val="none"/>
        </w:rPr>
        <w:t>附件8</w:t>
      </w:r>
    </w:p>
    <w:p>
      <w:pPr>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b/>
          <w:bCs/>
          <w:color w:val="auto"/>
          <w:sz w:val="24"/>
          <w:szCs w:val="24"/>
          <w:highlight w:val="none"/>
        </w:rPr>
        <w:t>分项报价明细表（货物类）</w:t>
      </w:r>
    </w:p>
    <w:p>
      <w:pPr>
        <w:snapToGrid w:val="0"/>
        <w:spacing w:line="36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供应商（盖章）：</w:t>
      </w:r>
    </w:p>
    <w:tbl>
      <w:tblPr>
        <w:tblStyle w:val="15"/>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序号</w:t>
            </w:r>
          </w:p>
        </w:tc>
        <w:tc>
          <w:tcPr>
            <w:tcW w:w="1340"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名称</w:t>
            </w:r>
          </w:p>
        </w:tc>
        <w:tc>
          <w:tcPr>
            <w:tcW w:w="1211"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规格型号</w:t>
            </w:r>
          </w:p>
        </w:tc>
        <w:tc>
          <w:tcPr>
            <w:tcW w:w="1276"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品牌</w:t>
            </w:r>
          </w:p>
        </w:tc>
        <w:tc>
          <w:tcPr>
            <w:tcW w:w="992"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单位</w:t>
            </w:r>
          </w:p>
        </w:tc>
        <w:tc>
          <w:tcPr>
            <w:tcW w:w="851"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数量</w:t>
            </w:r>
          </w:p>
        </w:tc>
        <w:tc>
          <w:tcPr>
            <w:tcW w:w="850"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单价</w:t>
            </w:r>
          </w:p>
        </w:tc>
        <w:tc>
          <w:tcPr>
            <w:tcW w:w="851" w:type="dxa"/>
            <w:vAlign w:val="center"/>
          </w:tcPr>
          <w:p>
            <w:pPr>
              <w:snapToGrid w:val="0"/>
              <w:spacing w:line="360" w:lineRule="auto"/>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金额</w:t>
            </w:r>
          </w:p>
        </w:tc>
        <w:tc>
          <w:tcPr>
            <w:tcW w:w="1403" w:type="dxa"/>
            <w:vAlign w:val="center"/>
          </w:tcPr>
          <w:p>
            <w:pPr>
              <w:snapToGrid w:val="0"/>
              <w:spacing w:line="360" w:lineRule="auto"/>
              <w:ind w:firstLine="120" w:firstLineChars="50"/>
              <w:jc w:val="center"/>
              <w:rPr>
                <w:rFonts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w:t>
            </w: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p>
        </w:tc>
        <w:tc>
          <w:tcPr>
            <w:tcW w:w="1340" w:type="dxa"/>
            <w:vAlign w:val="center"/>
          </w:tcPr>
          <w:p>
            <w:pPr>
              <w:snapToGrid w:val="0"/>
              <w:spacing w:line="360" w:lineRule="auto"/>
              <w:jc w:val="center"/>
              <w:rPr>
                <w:rFonts w:ascii="仿宋" w:hAnsi="仿宋" w:eastAsia="仿宋" w:cs="Times New Roman"/>
                <w:color w:val="auto"/>
                <w:sz w:val="24"/>
                <w:szCs w:val="24"/>
                <w:highlight w:val="none"/>
              </w:rPr>
            </w:pPr>
          </w:p>
        </w:tc>
        <w:tc>
          <w:tcPr>
            <w:tcW w:w="1211" w:type="dxa"/>
            <w:vAlign w:val="center"/>
          </w:tcPr>
          <w:p>
            <w:pPr>
              <w:snapToGrid w:val="0"/>
              <w:spacing w:line="360" w:lineRule="auto"/>
              <w:jc w:val="center"/>
              <w:rPr>
                <w:rFonts w:ascii="仿宋" w:hAnsi="仿宋" w:eastAsia="仿宋" w:cs="Times New Roman"/>
                <w:color w:val="auto"/>
                <w:sz w:val="24"/>
                <w:szCs w:val="24"/>
                <w:highlight w:val="none"/>
              </w:rPr>
            </w:pPr>
          </w:p>
        </w:tc>
        <w:tc>
          <w:tcPr>
            <w:tcW w:w="1276" w:type="dxa"/>
            <w:vAlign w:val="center"/>
          </w:tcPr>
          <w:p>
            <w:pPr>
              <w:snapToGrid w:val="0"/>
              <w:spacing w:line="360" w:lineRule="auto"/>
              <w:jc w:val="center"/>
              <w:rPr>
                <w:rFonts w:ascii="仿宋" w:hAnsi="仿宋" w:eastAsia="仿宋" w:cs="Times New Roman"/>
                <w:color w:val="auto"/>
                <w:sz w:val="24"/>
                <w:szCs w:val="24"/>
                <w:highlight w:val="none"/>
              </w:rPr>
            </w:pPr>
          </w:p>
        </w:tc>
        <w:tc>
          <w:tcPr>
            <w:tcW w:w="992"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850" w:type="dxa"/>
            <w:vAlign w:val="center"/>
          </w:tcPr>
          <w:p>
            <w:pPr>
              <w:snapToGrid w:val="0"/>
              <w:spacing w:line="360" w:lineRule="auto"/>
              <w:jc w:val="center"/>
              <w:rPr>
                <w:rFonts w:ascii="仿宋" w:hAnsi="仿宋" w:eastAsia="仿宋" w:cs="Times New Roman"/>
                <w:color w:val="auto"/>
                <w:sz w:val="24"/>
                <w:szCs w:val="24"/>
                <w:highlight w:val="none"/>
              </w:rPr>
            </w:pPr>
          </w:p>
        </w:tc>
        <w:tc>
          <w:tcPr>
            <w:tcW w:w="851" w:type="dxa"/>
            <w:vAlign w:val="center"/>
          </w:tcPr>
          <w:p>
            <w:pPr>
              <w:snapToGrid w:val="0"/>
              <w:spacing w:line="360" w:lineRule="auto"/>
              <w:jc w:val="center"/>
              <w:rPr>
                <w:rFonts w:ascii="仿宋" w:hAnsi="仿宋" w:eastAsia="仿宋" w:cs="Times New Roman"/>
                <w:color w:val="auto"/>
                <w:sz w:val="24"/>
                <w:szCs w:val="24"/>
                <w:highlight w:val="none"/>
              </w:rPr>
            </w:pPr>
          </w:p>
        </w:tc>
        <w:tc>
          <w:tcPr>
            <w:tcW w:w="1403" w:type="dxa"/>
            <w:vAlign w:val="center"/>
          </w:tcPr>
          <w:p>
            <w:pPr>
              <w:snapToGrid w:val="0"/>
              <w:spacing w:line="360" w:lineRule="auto"/>
              <w:jc w:val="center"/>
              <w:rPr>
                <w:rFonts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pPr>
              <w:snapToGrid w:val="0"/>
              <w:spacing w:line="360" w:lineRule="auto"/>
              <w:jc w:val="center"/>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合计</w:t>
            </w:r>
          </w:p>
        </w:tc>
        <w:tc>
          <w:tcPr>
            <w:tcW w:w="8774" w:type="dxa"/>
            <w:gridSpan w:val="8"/>
            <w:vAlign w:val="center"/>
          </w:tcPr>
          <w:p>
            <w:pPr>
              <w:snapToGrid w:val="0"/>
              <w:spacing w:line="360" w:lineRule="auto"/>
              <w:jc w:val="center"/>
              <w:rPr>
                <w:rFonts w:ascii="仿宋" w:hAnsi="仿宋" w:eastAsia="仿宋" w:cs="Times New Roman"/>
                <w:color w:val="auto"/>
                <w:sz w:val="24"/>
                <w:szCs w:val="24"/>
                <w:highlight w:val="none"/>
              </w:rPr>
            </w:pPr>
          </w:p>
        </w:tc>
      </w:tr>
    </w:tbl>
    <w:p>
      <w:pPr>
        <w:spacing w:line="360" w:lineRule="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注：供应商必须详细报出采购清单中各个子项的名称、品牌、规格型号、数量、单价。且本表各分项报价合计应当与报价总表报价合计相等。请各供应商务必按照以上要求填报，否则作为无效响应处理。</w:t>
      </w:r>
    </w:p>
    <w:p>
      <w:pPr>
        <w:widowControl/>
        <w:spacing w:line="360" w:lineRule="auto"/>
        <w:jc w:val="left"/>
        <w:rPr>
          <w:rFonts w:ascii="仿宋" w:hAnsi="仿宋" w:eastAsia="仿宋" w:cs="宋体"/>
          <w:color w:val="auto"/>
          <w:sz w:val="24"/>
          <w:szCs w:val="24"/>
          <w:highlight w:val="none"/>
        </w:rPr>
      </w:pPr>
      <w:r>
        <w:rPr>
          <w:rFonts w:ascii="仿宋" w:hAnsi="仿宋" w:eastAsia="仿宋" w:cs="Times New Roman"/>
          <w:color w:val="auto"/>
          <w:sz w:val="24"/>
          <w:szCs w:val="24"/>
          <w:highlight w:val="none"/>
        </w:rPr>
        <w:br w:type="page"/>
      </w:r>
    </w:p>
    <w:p>
      <w:pPr>
        <w:spacing w:line="360" w:lineRule="auto"/>
        <w:jc w:val="left"/>
        <w:rPr>
          <w:rFonts w:hint="default" w:ascii="仿宋" w:hAnsi="仿宋" w:eastAsia="仿宋" w:cs="Times New Roman"/>
          <w:bCs/>
          <w:color w:val="auto"/>
          <w:sz w:val="24"/>
          <w:szCs w:val="24"/>
          <w:highlight w:val="none"/>
          <w:lang w:val="en-US" w:eastAsia="zh-CN" w:bidi="ar"/>
        </w:rPr>
      </w:pPr>
      <w:r>
        <w:rPr>
          <w:rFonts w:ascii="仿宋" w:hAnsi="仿宋" w:eastAsia="仿宋" w:cs="Times New Roman"/>
          <w:bCs/>
          <w:color w:val="auto"/>
          <w:sz w:val="24"/>
          <w:szCs w:val="24"/>
          <w:highlight w:val="none"/>
          <w:lang w:bidi="ar"/>
        </w:rPr>
        <w:t>附件</w:t>
      </w:r>
      <w:r>
        <w:rPr>
          <w:rFonts w:hint="eastAsia" w:ascii="仿宋" w:hAnsi="仿宋" w:eastAsia="仿宋" w:cs="Times New Roman"/>
          <w:bCs/>
          <w:color w:val="auto"/>
          <w:sz w:val="24"/>
          <w:szCs w:val="24"/>
          <w:highlight w:val="none"/>
          <w:lang w:val="en-US" w:eastAsia="zh-CN" w:bidi="ar"/>
        </w:rPr>
        <w:t>9</w:t>
      </w:r>
    </w:p>
    <w:p>
      <w:pPr>
        <w:spacing w:line="360" w:lineRule="auto"/>
        <w:jc w:val="center"/>
        <w:rPr>
          <w:rFonts w:ascii="仿宋" w:hAnsi="仿宋" w:eastAsia="仿宋" w:cs="宋体"/>
          <w:b/>
          <w:color w:val="auto"/>
          <w:sz w:val="24"/>
          <w:szCs w:val="24"/>
          <w:highlight w:val="none"/>
          <w:lang w:bidi="ar"/>
        </w:rPr>
      </w:pPr>
      <w:bookmarkStart w:id="249" w:name="_Hlk130369611"/>
      <w:r>
        <w:rPr>
          <w:rFonts w:hint="eastAsia" w:ascii="仿宋" w:hAnsi="仿宋" w:eastAsia="仿宋" w:cs="宋体"/>
          <w:b/>
          <w:color w:val="auto"/>
          <w:sz w:val="24"/>
          <w:szCs w:val="24"/>
          <w:highlight w:val="none"/>
          <w:lang w:bidi="ar"/>
        </w:rPr>
        <w:t>供应商信用承诺书</w:t>
      </w:r>
    </w:p>
    <w:bookmarkEnd w:id="249"/>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为营造公开、公平、公正的交易环境，树立诚信守法的投标人形象，本人代表本单位作出以下承诺：</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二、严格依照国家和省、市、县关于政府采购等方面的法律、法规、规章、规范性文件，参加投标活动；积极履行社会责任，促进廉政建设；</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三、自我约束、自我管理，守合同、重信用，不参与围标串标、弄虚作假、骗取中标、干扰评标、违约毁约、恶意投诉等行为，主动维护招标投标的良好秩序；</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四、如发生违法违规或不良行为或存在其他法律法规对招标投标行为予以限制的情形，自愿接受政府采购有关行政监督部门依法给予的行政处罚（处理），并依法承担相应的法律责任；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五、自觉接受政府部门、行业组织、社会公众、新闻舆论等监督；</w:t>
      </w:r>
    </w:p>
    <w:p>
      <w:pPr>
        <w:spacing w:line="360" w:lineRule="auto"/>
        <w:ind w:firstLine="480" w:firstLineChars="2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六、上述承诺已向本单位员工作了宣传教育；</w:t>
      </w:r>
    </w:p>
    <w:p>
      <w:pPr>
        <w:spacing w:line="360" w:lineRule="auto"/>
        <w:ind w:firstLine="482" w:firstLineChars="200"/>
        <w:rPr>
          <w:rFonts w:ascii="仿宋" w:hAnsi="仿宋" w:eastAsia="仿宋" w:cs="宋体"/>
          <w:color w:val="auto"/>
          <w:kern w:val="0"/>
          <w:sz w:val="24"/>
          <w:szCs w:val="24"/>
          <w:highlight w:val="none"/>
          <w:lang w:val="zh-CN"/>
        </w:rPr>
      </w:pPr>
      <w:r>
        <w:rPr>
          <w:rFonts w:hint="eastAsia" w:ascii="仿宋" w:hAnsi="仿宋" w:eastAsia="仿宋" w:cs="宋体"/>
          <w:b/>
          <w:color w:val="auto"/>
          <w:kern w:val="0"/>
          <w:sz w:val="24"/>
          <w:szCs w:val="24"/>
          <w:highlight w:val="none"/>
          <w:lang w:val="zh-CN" w:bidi="ar"/>
        </w:rPr>
        <w:t>如有违反上述承诺的不良行为，本单位同意将其予以上网公示。</w:t>
      </w:r>
    </w:p>
    <w:p>
      <w:pPr>
        <w:spacing w:line="360" w:lineRule="auto"/>
        <w:ind w:firstLine="2640" w:firstLineChars="1100"/>
        <w:rPr>
          <w:rFonts w:ascii="仿宋" w:hAnsi="仿宋" w:eastAsia="仿宋" w:cs="宋体"/>
          <w:color w:val="auto"/>
          <w:kern w:val="0"/>
          <w:sz w:val="24"/>
          <w:szCs w:val="24"/>
          <w:highlight w:val="none"/>
          <w:u w:val="single"/>
          <w:lang w:val="zh-CN"/>
        </w:rPr>
      </w:pPr>
      <w:r>
        <w:rPr>
          <w:rFonts w:hint="eastAsia" w:ascii="仿宋" w:hAnsi="仿宋" w:eastAsia="仿宋" w:cs="宋体"/>
          <w:color w:val="auto"/>
          <w:kern w:val="0"/>
          <w:sz w:val="24"/>
          <w:szCs w:val="24"/>
          <w:highlight w:val="none"/>
          <w:lang w:val="zh-CN" w:bidi="ar"/>
        </w:rPr>
        <w:t>投标供应商全称(盖公章)：</w:t>
      </w:r>
    </w:p>
    <w:p>
      <w:pPr>
        <w:spacing w:line="360" w:lineRule="auto"/>
        <w:ind w:firstLine="2640" w:firstLineChars="1100"/>
        <w:rPr>
          <w:rFonts w:ascii="仿宋" w:hAnsi="仿宋" w:eastAsia="仿宋" w:cs="宋体"/>
          <w:color w:val="auto"/>
          <w:sz w:val="24"/>
          <w:szCs w:val="24"/>
          <w:highlight w:val="none"/>
          <w:u w:val="single"/>
          <w:lang w:val="zh-CN"/>
        </w:rPr>
      </w:pPr>
      <w:r>
        <w:rPr>
          <w:rFonts w:hint="eastAsia" w:ascii="仿宋" w:hAnsi="仿宋" w:eastAsia="仿宋" w:cs="宋体"/>
          <w:color w:val="auto"/>
          <w:kern w:val="0"/>
          <w:sz w:val="24"/>
          <w:szCs w:val="24"/>
          <w:highlight w:val="none"/>
          <w:lang w:val="zh-CN" w:bidi="ar"/>
        </w:rPr>
        <w:t>法定代表人（签字或盖章）：</w:t>
      </w:r>
    </w:p>
    <w:p>
      <w:pPr>
        <w:spacing w:line="360" w:lineRule="auto"/>
        <w:ind w:firstLine="2640" w:firstLineChars="1100"/>
        <w:rPr>
          <w:rFonts w:ascii="仿宋" w:hAnsi="仿宋" w:eastAsia="仿宋" w:cs="宋体"/>
          <w:color w:val="auto"/>
          <w:kern w:val="0"/>
          <w:sz w:val="24"/>
          <w:szCs w:val="24"/>
          <w:highlight w:val="none"/>
          <w:lang w:val="zh-CN"/>
        </w:rPr>
      </w:pPr>
      <w:r>
        <w:rPr>
          <w:rFonts w:hint="eastAsia" w:ascii="仿宋" w:hAnsi="仿宋" w:eastAsia="仿宋" w:cs="宋体"/>
          <w:color w:val="auto"/>
          <w:kern w:val="0"/>
          <w:sz w:val="24"/>
          <w:szCs w:val="24"/>
          <w:highlight w:val="none"/>
          <w:lang w:val="zh-CN" w:bidi="ar"/>
        </w:rPr>
        <w:t>时间：  年  月   日</w:t>
      </w:r>
    </w:p>
    <w:p>
      <w:pPr>
        <w:widowControl/>
        <w:spacing w:line="360" w:lineRule="auto"/>
        <w:jc w:val="left"/>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br w:type="page"/>
      </w:r>
    </w:p>
    <w:p>
      <w:pPr>
        <w:spacing w:line="360" w:lineRule="auto"/>
        <w:jc w:val="left"/>
        <w:rPr>
          <w:rFonts w:hint="default" w:ascii="仿宋" w:hAnsi="仿宋" w:eastAsia="仿宋" w:cs="Times New Roman"/>
          <w:bCs/>
          <w:color w:val="auto"/>
          <w:sz w:val="24"/>
          <w:szCs w:val="24"/>
          <w:highlight w:val="none"/>
          <w:lang w:val="en-US" w:eastAsia="zh-CN" w:bidi="ar"/>
        </w:rPr>
      </w:pPr>
      <w:r>
        <w:rPr>
          <w:rFonts w:ascii="仿宋" w:hAnsi="仿宋" w:eastAsia="仿宋" w:cs="Times New Roman"/>
          <w:bCs/>
          <w:color w:val="auto"/>
          <w:sz w:val="24"/>
          <w:szCs w:val="24"/>
          <w:highlight w:val="none"/>
          <w:lang w:bidi="ar"/>
        </w:rPr>
        <w:t>附件</w:t>
      </w:r>
      <w:r>
        <w:rPr>
          <w:rFonts w:hint="eastAsia" w:ascii="仿宋" w:hAnsi="仿宋" w:eastAsia="仿宋" w:cs="Times New Roman"/>
          <w:bCs/>
          <w:color w:val="auto"/>
          <w:sz w:val="24"/>
          <w:szCs w:val="24"/>
          <w:highlight w:val="none"/>
          <w:lang w:val="en-US" w:eastAsia="zh-CN" w:bidi="ar"/>
        </w:rPr>
        <w:t>10</w:t>
      </w:r>
    </w:p>
    <w:p>
      <w:pPr>
        <w:spacing w:line="360" w:lineRule="auto"/>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质疑函范本</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一、质疑供应商基本信息</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质疑供应商：</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地址：邮编：</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联系人：联系电话：</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授权代表：</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联系电话：</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地址：邮编：</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二、质疑项目基本情况</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质疑项目的名称：</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质疑项目的编号：包号：</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采购人名称：</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采购文件获取日期：</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三、质疑事项具体内容</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质疑事项1：</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事实依据：</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法律依据：</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质疑事项2</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四、与质疑事项相关的质疑请求</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请求：</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 xml:space="preserve">签字(签章)：                   公章：                      </w:t>
      </w:r>
    </w:p>
    <w:p>
      <w:pPr>
        <w:spacing w:line="360" w:lineRule="auto"/>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 xml:space="preserve">日期：    </w:t>
      </w:r>
    </w:p>
    <w:p>
      <w:pPr>
        <w:spacing w:line="360" w:lineRule="auto"/>
        <w:rPr>
          <w:rFonts w:ascii="仿宋" w:hAnsi="仿宋" w:eastAsia="仿宋" w:cs="宋体"/>
          <w:color w:val="auto"/>
          <w:kern w:val="0"/>
          <w:sz w:val="24"/>
          <w:szCs w:val="24"/>
          <w:highlight w:val="none"/>
          <w:lang w:val="zh-CN" w:bidi="ar"/>
        </w:rPr>
      </w:pPr>
    </w:p>
    <w:p>
      <w:pPr>
        <w:spacing w:line="360" w:lineRule="auto"/>
        <w:rPr>
          <w:rFonts w:ascii="仿宋" w:hAnsi="仿宋" w:eastAsia="仿宋" w:cs="宋体"/>
          <w:b/>
          <w:bCs/>
          <w:color w:val="auto"/>
          <w:kern w:val="0"/>
          <w:sz w:val="24"/>
          <w:szCs w:val="24"/>
          <w:highlight w:val="none"/>
          <w:lang w:val="zh-CN" w:bidi="ar"/>
        </w:rPr>
      </w:pPr>
      <w:r>
        <w:rPr>
          <w:rFonts w:hint="eastAsia" w:ascii="仿宋" w:hAnsi="仿宋" w:eastAsia="仿宋" w:cs="宋体"/>
          <w:b/>
          <w:bCs/>
          <w:color w:val="auto"/>
          <w:kern w:val="0"/>
          <w:sz w:val="24"/>
          <w:szCs w:val="24"/>
          <w:highlight w:val="none"/>
          <w:lang w:val="zh-CN" w:bidi="ar"/>
        </w:rPr>
        <w:t>质疑函制作说明：</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1.供应商提出质疑时，应提交质疑函和必要的证明材料。</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3.质疑供应商若对项目的某一分包进行质疑，质疑函中应列明具体分包号。</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4.质疑函的质疑事项应具体、明确，并有必要的事实依据和法律依据。</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5.质疑函的质疑请求应与质疑事项相关。</w:t>
      </w:r>
    </w:p>
    <w:p>
      <w:pPr>
        <w:spacing w:line="360" w:lineRule="auto"/>
        <w:ind w:firstLine="480" w:firstLineChars="200"/>
        <w:rPr>
          <w:rFonts w:ascii="仿宋" w:hAnsi="仿宋" w:eastAsia="仿宋" w:cs="宋体"/>
          <w:color w:val="auto"/>
          <w:kern w:val="0"/>
          <w:sz w:val="24"/>
          <w:szCs w:val="24"/>
          <w:highlight w:val="none"/>
          <w:lang w:val="zh-CN" w:bidi="ar"/>
        </w:rPr>
      </w:pPr>
      <w:r>
        <w:rPr>
          <w:rFonts w:hint="eastAsia" w:ascii="仿宋" w:hAnsi="仿宋" w:eastAsia="仿宋" w:cs="宋体"/>
          <w:color w:val="auto"/>
          <w:kern w:val="0"/>
          <w:sz w:val="24"/>
          <w:szCs w:val="24"/>
          <w:highlight w:val="none"/>
          <w:lang w:val="zh-CN" w:bidi="ar"/>
        </w:rPr>
        <w:t>6.质疑供应商为自然人的，质疑函应由本人签字；质疑供应商为法人或者其他组织的，质疑函应由法定代表人、主要负责人，或者其授权代表签字或者盖章，并加盖公章。</w:t>
      </w:r>
    </w:p>
    <w:p>
      <w:pPr>
        <w:spacing w:line="360" w:lineRule="auto"/>
        <w:ind w:firstLine="480" w:firstLineChars="200"/>
        <w:rPr>
          <w:rFonts w:ascii="仿宋" w:hAnsi="仿宋" w:eastAsia="仿宋" w:cs="宋体"/>
          <w:color w:val="auto"/>
          <w:kern w:val="0"/>
          <w:sz w:val="24"/>
          <w:szCs w:val="24"/>
          <w:highlight w:val="none"/>
          <w:lang w:val="zh-CN" w:bidi="ar"/>
        </w:rPr>
      </w:pPr>
    </w:p>
    <w:p>
      <w:pPr>
        <w:widowControl/>
        <w:spacing w:line="360" w:lineRule="auto"/>
        <w:jc w:val="left"/>
        <w:rPr>
          <w:rFonts w:ascii="仿宋" w:hAnsi="仿宋" w:eastAsia="仿宋"/>
          <w:color w:val="auto"/>
          <w:sz w:val="24"/>
          <w:szCs w:val="24"/>
          <w:highlight w:val="none"/>
        </w:rPr>
      </w:pP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1"/>
              <w:jc w:val="center"/>
              <w:rPr>
                <w:rFonts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12</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36</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yNDYwMzA2Yzk1NTc1MTZhOTFkMjlhMjgzY2U0ZWMifQ=="/>
  </w:docVars>
  <w:rsids>
    <w:rsidRoot w:val="000E6F62"/>
    <w:rsid w:val="0000098A"/>
    <w:rsid w:val="000021B4"/>
    <w:rsid w:val="00004E97"/>
    <w:rsid w:val="00005798"/>
    <w:rsid w:val="00006097"/>
    <w:rsid w:val="00013918"/>
    <w:rsid w:val="00013DCD"/>
    <w:rsid w:val="00014E20"/>
    <w:rsid w:val="00015B78"/>
    <w:rsid w:val="00020E06"/>
    <w:rsid w:val="00022DCC"/>
    <w:rsid w:val="00027DF4"/>
    <w:rsid w:val="00031B49"/>
    <w:rsid w:val="0003374E"/>
    <w:rsid w:val="00033EE4"/>
    <w:rsid w:val="00036BEA"/>
    <w:rsid w:val="00036F61"/>
    <w:rsid w:val="00040ADA"/>
    <w:rsid w:val="00047C97"/>
    <w:rsid w:val="00050DB4"/>
    <w:rsid w:val="000518D6"/>
    <w:rsid w:val="0005407A"/>
    <w:rsid w:val="00055922"/>
    <w:rsid w:val="00057092"/>
    <w:rsid w:val="000575C2"/>
    <w:rsid w:val="00063A5B"/>
    <w:rsid w:val="00063C87"/>
    <w:rsid w:val="00075A32"/>
    <w:rsid w:val="00080100"/>
    <w:rsid w:val="00082610"/>
    <w:rsid w:val="00086D68"/>
    <w:rsid w:val="0009178F"/>
    <w:rsid w:val="00092534"/>
    <w:rsid w:val="00096B3F"/>
    <w:rsid w:val="000A05EE"/>
    <w:rsid w:val="000A3992"/>
    <w:rsid w:val="000A41B4"/>
    <w:rsid w:val="000B3511"/>
    <w:rsid w:val="000B5552"/>
    <w:rsid w:val="000B5C05"/>
    <w:rsid w:val="000C2A5B"/>
    <w:rsid w:val="000C5004"/>
    <w:rsid w:val="000D2FB9"/>
    <w:rsid w:val="000D395B"/>
    <w:rsid w:val="000E0DB6"/>
    <w:rsid w:val="000E0E7A"/>
    <w:rsid w:val="000E6F62"/>
    <w:rsid w:val="000F1CD4"/>
    <w:rsid w:val="000F4D77"/>
    <w:rsid w:val="000F6D21"/>
    <w:rsid w:val="001033D4"/>
    <w:rsid w:val="00104F3A"/>
    <w:rsid w:val="00105E58"/>
    <w:rsid w:val="001105BE"/>
    <w:rsid w:val="0011100F"/>
    <w:rsid w:val="00111362"/>
    <w:rsid w:val="001113EE"/>
    <w:rsid w:val="00111BCB"/>
    <w:rsid w:val="0011268C"/>
    <w:rsid w:val="0011379A"/>
    <w:rsid w:val="0011414A"/>
    <w:rsid w:val="00121F78"/>
    <w:rsid w:val="00122266"/>
    <w:rsid w:val="00124729"/>
    <w:rsid w:val="00125111"/>
    <w:rsid w:val="00126B62"/>
    <w:rsid w:val="001336FE"/>
    <w:rsid w:val="001370AA"/>
    <w:rsid w:val="00142439"/>
    <w:rsid w:val="001464D8"/>
    <w:rsid w:val="00150486"/>
    <w:rsid w:val="0015162F"/>
    <w:rsid w:val="001559F8"/>
    <w:rsid w:val="00155CE2"/>
    <w:rsid w:val="00161281"/>
    <w:rsid w:val="00161BF1"/>
    <w:rsid w:val="00162B68"/>
    <w:rsid w:val="001666EB"/>
    <w:rsid w:val="001668B9"/>
    <w:rsid w:val="00170854"/>
    <w:rsid w:val="001713C6"/>
    <w:rsid w:val="001722E3"/>
    <w:rsid w:val="00174A37"/>
    <w:rsid w:val="00175215"/>
    <w:rsid w:val="00175C52"/>
    <w:rsid w:val="00177D2B"/>
    <w:rsid w:val="001822BA"/>
    <w:rsid w:val="001853E7"/>
    <w:rsid w:val="00185A07"/>
    <w:rsid w:val="001860DC"/>
    <w:rsid w:val="00191EAD"/>
    <w:rsid w:val="00192B1F"/>
    <w:rsid w:val="00197311"/>
    <w:rsid w:val="001A3364"/>
    <w:rsid w:val="001A4A71"/>
    <w:rsid w:val="001A4F4D"/>
    <w:rsid w:val="001A6166"/>
    <w:rsid w:val="001B0CE9"/>
    <w:rsid w:val="001B11E9"/>
    <w:rsid w:val="001B1C4D"/>
    <w:rsid w:val="001B527E"/>
    <w:rsid w:val="001B7885"/>
    <w:rsid w:val="001B7E64"/>
    <w:rsid w:val="001D5CFB"/>
    <w:rsid w:val="001D7463"/>
    <w:rsid w:val="001E34E7"/>
    <w:rsid w:val="001E36E4"/>
    <w:rsid w:val="001E610D"/>
    <w:rsid w:val="001E66C7"/>
    <w:rsid w:val="001E6ABF"/>
    <w:rsid w:val="001E759A"/>
    <w:rsid w:val="001E7C03"/>
    <w:rsid w:val="00201184"/>
    <w:rsid w:val="00203DF2"/>
    <w:rsid w:val="00204702"/>
    <w:rsid w:val="00210990"/>
    <w:rsid w:val="00220170"/>
    <w:rsid w:val="00221D85"/>
    <w:rsid w:val="00222FBA"/>
    <w:rsid w:val="00225C7D"/>
    <w:rsid w:val="002273FD"/>
    <w:rsid w:val="0023042F"/>
    <w:rsid w:val="00232F01"/>
    <w:rsid w:val="00233560"/>
    <w:rsid w:val="00233FE1"/>
    <w:rsid w:val="00235089"/>
    <w:rsid w:val="00237A2D"/>
    <w:rsid w:val="00240B0D"/>
    <w:rsid w:val="002429D0"/>
    <w:rsid w:val="0024599D"/>
    <w:rsid w:val="00261194"/>
    <w:rsid w:val="002614FD"/>
    <w:rsid w:val="00261F05"/>
    <w:rsid w:val="00265524"/>
    <w:rsid w:val="00265FCF"/>
    <w:rsid w:val="002747B9"/>
    <w:rsid w:val="00275FC1"/>
    <w:rsid w:val="00277908"/>
    <w:rsid w:val="0028127F"/>
    <w:rsid w:val="002820A5"/>
    <w:rsid w:val="002834A0"/>
    <w:rsid w:val="0028408A"/>
    <w:rsid w:val="00284659"/>
    <w:rsid w:val="00286315"/>
    <w:rsid w:val="00287BC2"/>
    <w:rsid w:val="00290C3E"/>
    <w:rsid w:val="00297678"/>
    <w:rsid w:val="002A0E45"/>
    <w:rsid w:val="002A5092"/>
    <w:rsid w:val="002D014C"/>
    <w:rsid w:val="002D0159"/>
    <w:rsid w:val="002D2023"/>
    <w:rsid w:val="002D308A"/>
    <w:rsid w:val="002D41FF"/>
    <w:rsid w:val="002E0858"/>
    <w:rsid w:val="002E1561"/>
    <w:rsid w:val="002E71EE"/>
    <w:rsid w:val="002E7CB3"/>
    <w:rsid w:val="003038AA"/>
    <w:rsid w:val="00306363"/>
    <w:rsid w:val="00307902"/>
    <w:rsid w:val="0031285E"/>
    <w:rsid w:val="00315DDB"/>
    <w:rsid w:val="00317BB1"/>
    <w:rsid w:val="00317E31"/>
    <w:rsid w:val="003202A5"/>
    <w:rsid w:val="00320D57"/>
    <w:rsid w:val="00324B9A"/>
    <w:rsid w:val="00325C54"/>
    <w:rsid w:val="00326203"/>
    <w:rsid w:val="00331487"/>
    <w:rsid w:val="003314C2"/>
    <w:rsid w:val="00334536"/>
    <w:rsid w:val="00334DA9"/>
    <w:rsid w:val="00337579"/>
    <w:rsid w:val="00342634"/>
    <w:rsid w:val="00347A5A"/>
    <w:rsid w:val="0036139F"/>
    <w:rsid w:val="0036715D"/>
    <w:rsid w:val="003672DB"/>
    <w:rsid w:val="003700F4"/>
    <w:rsid w:val="00372164"/>
    <w:rsid w:val="003743E7"/>
    <w:rsid w:val="00374C1B"/>
    <w:rsid w:val="003759EC"/>
    <w:rsid w:val="00375B89"/>
    <w:rsid w:val="00376A45"/>
    <w:rsid w:val="00377622"/>
    <w:rsid w:val="003862A9"/>
    <w:rsid w:val="00392718"/>
    <w:rsid w:val="00392ADA"/>
    <w:rsid w:val="00392E5B"/>
    <w:rsid w:val="003930C1"/>
    <w:rsid w:val="003A1C33"/>
    <w:rsid w:val="003A6A4F"/>
    <w:rsid w:val="003B4D50"/>
    <w:rsid w:val="003C6652"/>
    <w:rsid w:val="003C7835"/>
    <w:rsid w:val="003D594B"/>
    <w:rsid w:val="003E02A1"/>
    <w:rsid w:val="003E3426"/>
    <w:rsid w:val="003F083D"/>
    <w:rsid w:val="003F231F"/>
    <w:rsid w:val="00401F5D"/>
    <w:rsid w:val="0040225D"/>
    <w:rsid w:val="00403B80"/>
    <w:rsid w:val="00407863"/>
    <w:rsid w:val="004135A5"/>
    <w:rsid w:val="00416009"/>
    <w:rsid w:val="004164E4"/>
    <w:rsid w:val="004204C9"/>
    <w:rsid w:val="00421B7B"/>
    <w:rsid w:val="00423225"/>
    <w:rsid w:val="004341FD"/>
    <w:rsid w:val="00434385"/>
    <w:rsid w:val="004400FF"/>
    <w:rsid w:val="004437C6"/>
    <w:rsid w:val="00443B99"/>
    <w:rsid w:val="00447F2B"/>
    <w:rsid w:val="004601D7"/>
    <w:rsid w:val="00467212"/>
    <w:rsid w:val="004721D5"/>
    <w:rsid w:val="004740D5"/>
    <w:rsid w:val="004751B1"/>
    <w:rsid w:val="00476E76"/>
    <w:rsid w:val="00476F77"/>
    <w:rsid w:val="00482923"/>
    <w:rsid w:val="004829F7"/>
    <w:rsid w:val="00486452"/>
    <w:rsid w:val="00494F68"/>
    <w:rsid w:val="004A115E"/>
    <w:rsid w:val="004A2204"/>
    <w:rsid w:val="004A511A"/>
    <w:rsid w:val="004A557C"/>
    <w:rsid w:val="004B06C2"/>
    <w:rsid w:val="004B37AE"/>
    <w:rsid w:val="004B622B"/>
    <w:rsid w:val="004C43F3"/>
    <w:rsid w:val="004C7045"/>
    <w:rsid w:val="004D14F1"/>
    <w:rsid w:val="004D2635"/>
    <w:rsid w:val="004D469A"/>
    <w:rsid w:val="004D4E65"/>
    <w:rsid w:val="004D6C61"/>
    <w:rsid w:val="004D7E61"/>
    <w:rsid w:val="004E1EB9"/>
    <w:rsid w:val="004E28E0"/>
    <w:rsid w:val="004E3AB1"/>
    <w:rsid w:val="004E42DF"/>
    <w:rsid w:val="004E58DC"/>
    <w:rsid w:val="004E5B84"/>
    <w:rsid w:val="004F2EAC"/>
    <w:rsid w:val="004F4C67"/>
    <w:rsid w:val="004F7F2F"/>
    <w:rsid w:val="00503209"/>
    <w:rsid w:val="00503A0C"/>
    <w:rsid w:val="00505F22"/>
    <w:rsid w:val="0051378A"/>
    <w:rsid w:val="00514FB2"/>
    <w:rsid w:val="005201FA"/>
    <w:rsid w:val="00524270"/>
    <w:rsid w:val="00524FB0"/>
    <w:rsid w:val="00527624"/>
    <w:rsid w:val="00532A6C"/>
    <w:rsid w:val="00536B36"/>
    <w:rsid w:val="005424AE"/>
    <w:rsid w:val="005444C5"/>
    <w:rsid w:val="00544B8F"/>
    <w:rsid w:val="0054629F"/>
    <w:rsid w:val="00546F31"/>
    <w:rsid w:val="005612A7"/>
    <w:rsid w:val="00561EFF"/>
    <w:rsid w:val="005622F6"/>
    <w:rsid w:val="00564475"/>
    <w:rsid w:val="005653B6"/>
    <w:rsid w:val="00566096"/>
    <w:rsid w:val="0057011D"/>
    <w:rsid w:val="00571081"/>
    <w:rsid w:val="00572285"/>
    <w:rsid w:val="00572EBD"/>
    <w:rsid w:val="00573AB3"/>
    <w:rsid w:val="0057483E"/>
    <w:rsid w:val="00575544"/>
    <w:rsid w:val="00577F45"/>
    <w:rsid w:val="00587C6A"/>
    <w:rsid w:val="00591B9F"/>
    <w:rsid w:val="005930C7"/>
    <w:rsid w:val="005A1859"/>
    <w:rsid w:val="005A5307"/>
    <w:rsid w:val="005A6FA6"/>
    <w:rsid w:val="005B3CB3"/>
    <w:rsid w:val="005B7637"/>
    <w:rsid w:val="005C0B6A"/>
    <w:rsid w:val="005C2067"/>
    <w:rsid w:val="005C28A8"/>
    <w:rsid w:val="005D7B1E"/>
    <w:rsid w:val="005F046F"/>
    <w:rsid w:val="005F375E"/>
    <w:rsid w:val="005F5707"/>
    <w:rsid w:val="005F78A6"/>
    <w:rsid w:val="006012FB"/>
    <w:rsid w:val="006016D7"/>
    <w:rsid w:val="00604DDE"/>
    <w:rsid w:val="00605498"/>
    <w:rsid w:val="00607375"/>
    <w:rsid w:val="00614E51"/>
    <w:rsid w:val="00615533"/>
    <w:rsid w:val="006165F5"/>
    <w:rsid w:val="006213BD"/>
    <w:rsid w:val="00621708"/>
    <w:rsid w:val="00622680"/>
    <w:rsid w:val="00622E05"/>
    <w:rsid w:val="006236FA"/>
    <w:rsid w:val="00626E09"/>
    <w:rsid w:val="00626ECF"/>
    <w:rsid w:val="00627DE4"/>
    <w:rsid w:val="00630181"/>
    <w:rsid w:val="00631C94"/>
    <w:rsid w:val="0063267B"/>
    <w:rsid w:val="0063654D"/>
    <w:rsid w:val="00641309"/>
    <w:rsid w:val="00643D29"/>
    <w:rsid w:val="006448DA"/>
    <w:rsid w:val="00646012"/>
    <w:rsid w:val="006571F6"/>
    <w:rsid w:val="006572DD"/>
    <w:rsid w:val="006640AB"/>
    <w:rsid w:val="0067446B"/>
    <w:rsid w:val="00687070"/>
    <w:rsid w:val="00692F88"/>
    <w:rsid w:val="00695908"/>
    <w:rsid w:val="006A0549"/>
    <w:rsid w:val="006A0827"/>
    <w:rsid w:val="006A0CDD"/>
    <w:rsid w:val="006B061A"/>
    <w:rsid w:val="006B0E2D"/>
    <w:rsid w:val="006B1D46"/>
    <w:rsid w:val="006B459C"/>
    <w:rsid w:val="006B5DEC"/>
    <w:rsid w:val="006C48CE"/>
    <w:rsid w:val="006C5575"/>
    <w:rsid w:val="006C5FC0"/>
    <w:rsid w:val="006D1996"/>
    <w:rsid w:val="006D35DA"/>
    <w:rsid w:val="006D4EE1"/>
    <w:rsid w:val="006D55CD"/>
    <w:rsid w:val="006E40D5"/>
    <w:rsid w:val="006E74B3"/>
    <w:rsid w:val="006F5CD4"/>
    <w:rsid w:val="007000B1"/>
    <w:rsid w:val="007110F4"/>
    <w:rsid w:val="0071219F"/>
    <w:rsid w:val="007178A7"/>
    <w:rsid w:val="00720646"/>
    <w:rsid w:val="00723203"/>
    <w:rsid w:val="0072345F"/>
    <w:rsid w:val="0073019B"/>
    <w:rsid w:val="00732C6B"/>
    <w:rsid w:val="007339D9"/>
    <w:rsid w:val="007359E8"/>
    <w:rsid w:val="00737F56"/>
    <w:rsid w:val="00743523"/>
    <w:rsid w:val="007534E0"/>
    <w:rsid w:val="00764502"/>
    <w:rsid w:val="00766B5B"/>
    <w:rsid w:val="00767C86"/>
    <w:rsid w:val="00770F07"/>
    <w:rsid w:val="007724B6"/>
    <w:rsid w:val="00773F66"/>
    <w:rsid w:val="00780216"/>
    <w:rsid w:val="00781E58"/>
    <w:rsid w:val="007840C5"/>
    <w:rsid w:val="0078482B"/>
    <w:rsid w:val="00784D05"/>
    <w:rsid w:val="00784F04"/>
    <w:rsid w:val="0078613B"/>
    <w:rsid w:val="007867E7"/>
    <w:rsid w:val="00791D27"/>
    <w:rsid w:val="00796C7D"/>
    <w:rsid w:val="007A16B1"/>
    <w:rsid w:val="007A572D"/>
    <w:rsid w:val="007A6E5E"/>
    <w:rsid w:val="007B0005"/>
    <w:rsid w:val="007B1811"/>
    <w:rsid w:val="007B1CB4"/>
    <w:rsid w:val="007B6089"/>
    <w:rsid w:val="007B60F4"/>
    <w:rsid w:val="007B6325"/>
    <w:rsid w:val="007B6A9F"/>
    <w:rsid w:val="007C4CC9"/>
    <w:rsid w:val="007C6E63"/>
    <w:rsid w:val="007C6FC1"/>
    <w:rsid w:val="007C7D52"/>
    <w:rsid w:val="007D0FC1"/>
    <w:rsid w:val="007D5B83"/>
    <w:rsid w:val="007E015B"/>
    <w:rsid w:val="007E4A5E"/>
    <w:rsid w:val="007E5588"/>
    <w:rsid w:val="007E7F1D"/>
    <w:rsid w:val="007F26AD"/>
    <w:rsid w:val="007F2C22"/>
    <w:rsid w:val="00801B1B"/>
    <w:rsid w:val="008060E0"/>
    <w:rsid w:val="008067BF"/>
    <w:rsid w:val="00806DAE"/>
    <w:rsid w:val="0080763E"/>
    <w:rsid w:val="00815013"/>
    <w:rsid w:val="008164B5"/>
    <w:rsid w:val="008243BB"/>
    <w:rsid w:val="0082443B"/>
    <w:rsid w:val="00825190"/>
    <w:rsid w:val="0082531E"/>
    <w:rsid w:val="00825F9F"/>
    <w:rsid w:val="008276FC"/>
    <w:rsid w:val="00832450"/>
    <w:rsid w:val="008330D5"/>
    <w:rsid w:val="00833518"/>
    <w:rsid w:val="00834248"/>
    <w:rsid w:val="0083614F"/>
    <w:rsid w:val="00837E07"/>
    <w:rsid w:val="00840012"/>
    <w:rsid w:val="00840666"/>
    <w:rsid w:val="008409BF"/>
    <w:rsid w:val="00841747"/>
    <w:rsid w:val="00845517"/>
    <w:rsid w:val="008519FD"/>
    <w:rsid w:val="00851E94"/>
    <w:rsid w:val="0085212C"/>
    <w:rsid w:val="00852B4A"/>
    <w:rsid w:val="00852D48"/>
    <w:rsid w:val="00853A4D"/>
    <w:rsid w:val="0085695B"/>
    <w:rsid w:val="00861D60"/>
    <w:rsid w:val="008655BD"/>
    <w:rsid w:val="00874A2C"/>
    <w:rsid w:val="00875ADF"/>
    <w:rsid w:val="00876A9D"/>
    <w:rsid w:val="00877649"/>
    <w:rsid w:val="00884A23"/>
    <w:rsid w:val="00886594"/>
    <w:rsid w:val="00890951"/>
    <w:rsid w:val="0089454B"/>
    <w:rsid w:val="0089647F"/>
    <w:rsid w:val="00897B47"/>
    <w:rsid w:val="008A7857"/>
    <w:rsid w:val="008B3646"/>
    <w:rsid w:val="008B73FE"/>
    <w:rsid w:val="008B78D5"/>
    <w:rsid w:val="008B7CC2"/>
    <w:rsid w:val="008C08B8"/>
    <w:rsid w:val="008C0963"/>
    <w:rsid w:val="008C360B"/>
    <w:rsid w:val="008C38D2"/>
    <w:rsid w:val="008C6067"/>
    <w:rsid w:val="008D09DA"/>
    <w:rsid w:val="008D13DD"/>
    <w:rsid w:val="008D341F"/>
    <w:rsid w:val="008D3F19"/>
    <w:rsid w:val="008D52CF"/>
    <w:rsid w:val="008D7CB2"/>
    <w:rsid w:val="008E01B0"/>
    <w:rsid w:val="008E04EE"/>
    <w:rsid w:val="008E30C1"/>
    <w:rsid w:val="008E4002"/>
    <w:rsid w:val="008F30BA"/>
    <w:rsid w:val="008F42B5"/>
    <w:rsid w:val="008F5251"/>
    <w:rsid w:val="008F6552"/>
    <w:rsid w:val="008F70DC"/>
    <w:rsid w:val="0090172A"/>
    <w:rsid w:val="00902875"/>
    <w:rsid w:val="009041D2"/>
    <w:rsid w:val="00905A84"/>
    <w:rsid w:val="00906406"/>
    <w:rsid w:val="00912166"/>
    <w:rsid w:val="00916B05"/>
    <w:rsid w:val="00916FBE"/>
    <w:rsid w:val="009170F0"/>
    <w:rsid w:val="00920ECD"/>
    <w:rsid w:val="009230CB"/>
    <w:rsid w:val="00926A3E"/>
    <w:rsid w:val="0093054F"/>
    <w:rsid w:val="00930B8B"/>
    <w:rsid w:val="0093210B"/>
    <w:rsid w:val="0093389D"/>
    <w:rsid w:val="009357AD"/>
    <w:rsid w:val="00940FB6"/>
    <w:rsid w:val="0094149A"/>
    <w:rsid w:val="00944270"/>
    <w:rsid w:val="00944681"/>
    <w:rsid w:val="00945F3E"/>
    <w:rsid w:val="00952CA9"/>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7E50"/>
    <w:rsid w:val="009B2BFF"/>
    <w:rsid w:val="009B348E"/>
    <w:rsid w:val="009B5CF0"/>
    <w:rsid w:val="009B68CF"/>
    <w:rsid w:val="009B7A76"/>
    <w:rsid w:val="009C066F"/>
    <w:rsid w:val="009C1EFB"/>
    <w:rsid w:val="009C39B5"/>
    <w:rsid w:val="009C3FD0"/>
    <w:rsid w:val="009C69B8"/>
    <w:rsid w:val="009D0385"/>
    <w:rsid w:val="009D2F43"/>
    <w:rsid w:val="009D789B"/>
    <w:rsid w:val="009E15DE"/>
    <w:rsid w:val="009E665C"/>
    <w:rsid w:val="009E7236"/>
    <w:rsid w:val="009F0D3B"/>
    <w:rsid w:val="009F25A4"/>
    <w:rsid w:val="009F3013"/>
    <w:rsid w:val="009F61B1"/>
    <w:rsid w:val="009F6CF6"/>
    <w:rsid w:val="00A005C3"/>
    <w:rsid w:val="00A018FE"/>
    <w:rsid w:val="00A159DA"/>
    <w:rsid w:val="00A260C2"/>
    <w:rsid w:val="00A30819"/>
    <w:rsid w:val="00A32BC0"/>
    <w:rsid w:val="00A34E21"/>
    <w:rsid w:val="00A40A09"/>
    <w:rsid w:val="00A41166"/>
    <w:rsid w:val="00A46329"/>
    <w:rsid w:val="00A474C0"/>
    <w:rsid w:val="00A521B4"/>
    <w:rsid w:val="00A53BA7"/>
    <w:rsid w:val="00A53EED"/>
    <w:rsid w:val="00A5409D"/>
    <w:rsid w:val="00A5745E"/>
    <w:rsid w:val="00A63D4B"/>
    <w:rsid w:val="00A73630"/>
    <w:rsid w:val="00A74AD2"/>
    <w:rsid w:val="00A76997"/>
    <w:rsid w:val="00A77047"/>
    <w:rsid w:val="00A7775A"/>
    <w:rsid w:val="00A77C58"/>
    <w:rsid w:val="00A83D2F"/>
    <w:rsid w:val="00A85D78"/>
    <w:rsid w:val="00A85EB1"/>
    <w:rsid w:val="00A92D91"/>
    <w:rsid w:val="00A93B3C"/>
    <w:rsid w:val="00A97DFB"/>
    <w:rsid w:val="00AA2308"/>
    <w:rsid w:val="00AA34C3"/>
    <w:rsid w:val="00AA3856"/>
    <w:rsid w:val="00AA5031"/>
    <w:rsid w:val="00AA5C2F"/>
    <w:rsid w:val="00AC20D0"/>
    <w:rsid w:val="00AC24F3"/>
    <w:rsid w:val="00AC27FF"/>
    <w:rsid w:val="00AD1B36"/>
    <w:rsid w:val="00AD2877"/>
    <w:rsid w:val="00AD2C70"/>
    <w:rsid w:val="00AE3B68"/>
    <w:rsid w:val="00AE4D01"/>
    <w:rsid w:val="00AF0D7D"/>
    <w:rsid w:val="00AF4143"/>
    <w:rsid w:val="00AF453F"/>
    <w:rsid w:val="00AF5622"/>
    <w:rsid w:val="00B006CF"/>
    <w:rsid w:val="00B028AA"/>
    <w:rsid w:val="00B14810"/>
    <w:rsid w:val="00B23EE5"/>
    <w:rsid w:val="00B323E2"/>
    <w:rsid w:val="00B41900"/>
    <w:rsid w:val="00B42376"/>
    <w:rsid w:val="00B44EDD"/>
    <w:rsid w:val="00B4612C"/>
    <w:rsid w:val="00B47C12"/>
    <w:rsid w:val="00B51543"/>
    <w:rsid w:val="00B52A83"/>
    <w:rsid w:val="00B55B5C"/>
    <w:rsid w:val="00B56583"/>
    <w:rsid w:val="00B62B02"/>
    <w:rsid w:val="00B65BE8"/>
    <w:rsid w:val="00B723D4"/>
    <w:rsid w:val="00B7559A"/>
    <w:rsid w:val="00B7683F"/>
    <w:rsid w:val="00B80378"/>
    <w:rsid w:val="00B8507E"/>
    <w:rsid w:val="00B85201"/>
    <w:rsid w:val="00B856AD"/>
    <w:rsid w:val="00B87398"/>
    <w:rsid w:val="00B91C5D"/>
    <w:rsid w:val="00B93545"/>
    <w:rsid w:val="00B95987"/>
    <w:rsid w:val="00BA2E7D"/>
    <w:rsid w:val="00BA3116"/>
    <w:rsid w:val="00BA3CDB"/>
    <w:rsid w:val="00BB1DAA"/>
    <w:rsid w:val="00BB2C6E"/>
    <w:rsid w:val="00BC0523"/>
    <w:rsid w:val="00BC3426"/>
    <w:rsid w:val="00BC355B"/>
    <w:rsid w:val="00BD1D4D"/>
    <w:rsid w:val="00BE1290"/>
    <w:rsid w:val="00BE5B33"/>
    <w:rsid w:val="00BF05BF"/>
    <w:rsid w:val="00BF166A"/>
    <w:rsid w:val="00BF500D"/>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03D7"/>
    <w:rsid w:val="00C32B15"/>
    <w:rsid w:val="00C347B5"/>
    <w:rsid w:val="00C347D6"/>
    <w:rsid w:val="00C35588"/>
    <w:rsid w:val="00C36631"/>
    <w:rsid w:val="00C369CB"/>
    <w:rsid w:val="00C42032"/>
    <w:rsid w:val="00C4244E"/>
    <w:rsid w:val="00C4417F"/>
    <w:rsid w:val="00C4621D"/>
    <w:rsid w:val="00C46DB2"/>
    <w:rsid w:val="00C5037B"/>
    <w:rsid w:val="00C50F2E"/>
    <w:rsid w:val="00C556B3"/>
    <w:rsid w:val="00C5781A"/>
    <w:rsid w:val="00C57862"/>
    <w:rsid w:val="00C613F2"/>
    <w:rsid w:val="00C64542"/>
    <w:rsid w:val="00C65550"/>
    <w:rsid w:val="00C70F8C"/>
    <w:rsid w:val="00C7194C"/>
    <w:rsid w:val="00C71BD0"/>
    <w:rsid w:val="00C76506"/>
    <w:rsid w:val="00C7682D"/>
    <w:rsid w:val="00C76895"/>
    <w:rsid w:val="00C77C3C"/>
    <w:rsid w:val="00C83F63"/>
    <w:rsid w:val="00C90B18"/>
    <w:rsid w:val="00C90CDB"/>
    <w:rsid w:val="00C90CE3"/>
    <w:rsid w:val="00C93FFC"/>
    <w:rsid w:val="00C962B3"/>
    <w:rsid w:val="00CA03F1"/>
    <w:rsid w:val="00CA1D43"/>
    <w:rsid w:val="00CA72A2"/>
    <w:rsid w:val="00CB3542"/>
    <w:rsid w:val="00CB5046"/>
    <w:rsid w:val="00CC302C"/>
    <w:rsid w:val="00CC3F4A"/>
    <w:rsid w:val="00CD06F2"/>
    <w:rsid w:val="00CD3863"/>
    <w:rsid w:val="00CD42AB"/>
    <w:rsid w:val="00CD5E46"/>
    <w:rsid w:val="00CE61D9"/>
    <w:rsid w:val="00CE7AEA"/>
    <w:rsid w:val="00CF18D8"/>
    <w:rsid w:val="00CF2678"/>
    <w:rsid w:val="00CF712B"/>
    <w:rsid w:val="00D01815"/>
    <w:rsid w:val="00D14B9E"/>
    <w:rsid w:val="00D20998"/>
    <w:rsid w:val="00D21059"/>
    <w:rsid w:val="00D22D8E"/>
    <w:rsid w:val="00D24294"/>
    <w:rsid w:val="00D25F12"/>
    <w:rsid w:val="00D3087A"/>
    <w:rsid w:val="00D3420C"/>
    <w:rsid w:val="00D353F6"/>
    <w:rsid w:val="00D36AE4"/>
    <w:rsid w:val="00D3775B"/>
    <w:rsid w:val="00D41D56"/>
    <w:rsid w:val="00D4464A"/>
    <w:rsid w:val="00D45E59"/>
    <w:rsid w:val="00D47D18"/>
    <w:rsid w:val="00D521BB"/>
    <w:rsid w:val="00D5273E"/>
    <w:rsid w:val="00D54AAA"/>
    <w:rsid w:val="00D54EF4"/>
    <w:rsid w:val="00D60AA1"/>
    <w:rsid w:val="00D66B9E"/>
    <w:rsid w:val="00D70520"/>
    <w:rsid w:val="00D708F9"/>
    <w:rsid w:val="00D710C6"/>
    <w:rsid w:val="00D73179"/>
    <w:rsid w:val="00D75D02"/>
    <w:rsid w:val="00D76058"/>
    <w:rsid w:val="00D81B6A"/>
    <w:rsid w:val="00D824E8"/>
    <w:rsid w:val="00D86AE0"/>
    <w:rsid w:val="00D9248C"/>
    <w:rsid w:val="00D93712"/>
    <w:rsid w:val="00DA1234"/>
    <w:rsid w:val="00DA13A7"/>
    <w:rsid w:val="00DA1D24"/>
    <w:rsid w:val="00DA317F"/>
    <w:rsid w:val="00DA5B97"/>
    <w:rsid w:val="00DB0E2F"/>
    <w:rsid w:val="00DB411B"/>
    <w:rsid w:val="00DB734A"/>
    <w:rsid w:val="00DC0343"/>
    <w:rsid w:val="00DC407B"/>
    <w:rsid w:val="00DC541D"/>
    <w:rsid w:val="00DC7D58"/>
    <w:rsid w:val="00DD0607"/>
    <w:rsid w:val="00DD3DA2"/>
    <w:rsid w:val="00DD7796"/>
    <w:rsid w:val="00DE15AD"/>
    <w:rsid w:val="00DE538F"/>
    <w:rsid w:val="00DE54C8"/>
    <w:rsid w:val="00DF5C00"/>
    <w:rsid w:val="00E037E0"/>
    <w:rsid w:val="00E03C47"/>
    <w:rsid w:val="00E10A9C"/>
    <w:rsid w:val="00E10AFB"/>
    <w:rsid w:val="00E11219"/>
    <w:rsid w:val="00E11AB2"/>
    <w:rsid w:val="00E1338A"/>
    <w:rsid w:val="00E21667"/>
    <w:rsid w:val="00E313D4"/>
    <w:rsid w:val="00E3262A"/>
    <w:rsid w:val="00E33F48"/>
    <w:rsid w:val="00E35B07"/>
    <w:rsid w:val="00E35B28"/>
    <w:rsid w:val="00E36338"/>
    <w:rsid w:val="00E430B6"/>
    <w:rsid w:val="00E4357C"/>
    <w:rsid w:val="00E446C7"/>
    <w:rsid w:val="00E465D5"/>
    <w:rsid w:val="00E51437"/>
    <w:rsid w:val="00E514F0"/>
    <w:rsid w:val="00E566A3"/>
    <w:rsid w:val="00E56E4F"/>
    <w:rsid w:val="00E624C6"/>
    <w:rsid w:val="00E660C2"/>
    <w:rsid w:val="00E66C5A"/>
    <w:rsid w:val="00E70608"/>
    <w:rsid w:val="00E72477"/>
    <w:rsid w:val="00E81ED8"/>
    <w:rsid w:val="00E8608B"/>
    <w:rsid w:val="00E8651D"/>
    <w:rsid w:val="00E875F2"/>
    <w:rsid w:val="00E905AA"/>
    <w:rsid w:val="00E91607"/>
    <w:rsid w:val="00E91CA6"/>
    <w:rsid w:val="00EA0A32"/>
    <w:rsid w:val="00EA497F"/>
    <w:rsid w:val="00EA6076"/>
    <w:rsid w:val="00EB5564"/>
    <w:rsid w:val="00EB7844"/>
    <w:rsid w:val="00EC318E"/>
    <w:rsid w:val="00EC3BD0"/>
    <w:rsid w:val="00EC6850"/>
    <w:rsid w:val="00EC7553"/>
    <w:rsid w:val="00ED01CB"/>
    <w:rsid w:val="00ED0B56"/>
    <w:rsid w:val="00ED43E6"/>
    <w:rsid w:val="00ED4E84"/>
    <w:rsid w:val="00ED7744"/>
    <w:rsid w:val="00EE09A7"/>
    <w:rsid w:val="00EE19CC"/>
    <w:rsid w:val="00EF09C8"/>
    <w:rsid w:val="00EF4C0F"/>
    <w:rsid w:val="00F001C9"/>
    <w:rsid w:val="00F0621B"/>
    <w:rsid w:val="00F069EF"/>
    <w:rsid w:val="00F07319"/>
    <w:rsid w:val="00F1472B"/>
    <w:rsid w:val="00F15F1E"/>
    <w:rsid w:val="00F1649A"/>
    <w:rsid w:val="00F16D99"/>
    <w:rsid w:val="00F24AE3"/>
    <w:rsid w:val="00F2782A"/>
    <w:rsid w:val="00F34E22"/>
    <w:rsid w:val="00F461F5"/>
    <w:rsid w:val="00F46BB2"/>
    <w:rsid w:val="00F47367"/>
    <w:rsid w:val="00F568BF"/>
    <w:rsid w:val="00F61659"/>
    <w:rsid w:val="00F61926"/>
    <w:rsid w:val="00F62179"/>
    <w:rsid w:val="00F62F6A"/>
    <w:rsid w:val="00F63579"/>
    <w:rsid w:val="00F64E1C"/>
    <w:rsid w:val="00F670AF"/>
    <w:rsid w:val="00F70EDC"/>
    <w:rsid w:val="00F72FEA"/>
    <w:rsid w:val="00F730BB"/>
    <w:rsid w:val="00F82743"/>
    <w:rsid w:val="00F90D58"/>
    <w:rsid w:val="00F9115A"/>
    <w:rsid w:val="00FA362E"/>
    <w:rsid w:val="00FA6A59"/>
    <w:rsid w:val="00FA6B40"/>
    <w:rsid w:val="00FB01ED"/>
    <w:rsid w:val="00FB158B"/>
    <w:rsid w:val="00FB338C"/>
    <w:rsid w:val="00FB47FE"/>
    <w:rsid w:val="00FB5A4A"/>
    <w:rsid w:val="00FB6E6C"/>
    <w:rsid w:val="00FC5BF0"/>
    <w:rsid w:val="00FC6093"/>
    <w:rsid w:val="00FC7C14"/>
    <w:rsid w:val="00FC7C5B"/>
    <w:rsid w:val="00FD1210"/>
    <w:rsid w:val="00FD255B"/>
    <w:rsid w:val="00FD3D04"/>
    <w:rsid w:val="00FD423D"/>
    <w:rsid w:val="00FD44C0"/>
    <w:rsid w:val="00FD61D3"/>
    <w:rsid w:val="00FD6BF6"/>
    <w:rsid w:val="00FE2F3B"/>
    <w:rsid w:val="00FE31DF"/>
    <w:rsid w:val="00FE5C97"/>
    <w:rsid w:val="00FF03ED"/>
    <w:rsid w:val="00FF1D6C"/>
    <w:rsid w:val="00FF43D9"/>
    <w:rsid w:val="00FF4988"/>
    <w:rsid w:val="03F743E0"/>
    <w:rsid w:val="061443BE"/>
    <w:rsid w:val="06853E73"/>
    <w:rsid w:val="0AC22A01"/>
    <w:rsid w:val="0C101C8A"/>
    <w:rsid w:val="10985698"/>
    <w:rsid w:val="11D92089"/>
    <w:rsid w:val="12CC1B35"/>
    <w:rsid w:val="15110C90"/>
    <w:rsid w:val="1CA4421A"/>
    <w:rsid w:val="21D8518D"/>
    <w:rsid w:val="25686429"/>
    <w:rsid w:val="285D7C97"/>
    <w:rsid w:val="2A5D1D90"/>
    <w:rsid w:val="2F920F57"/>
    <w:rsid w:val="3A8207E6"/>
    <w:rsid w:val="45AD2E81"/>
    <w:rsid w:val="46F60EDD"/>
    <w:rsid w:val="48B77271"/>
    <w:rsid w:val="52081480"/>
    <w:rsid w:val="527752A8"/>
    <w:rsid w:val="549C638F"/>
    <w:rsid w:val="5FF4201D"/>
    <w:rsid w:val="6B617B76"/>
    <w:rsid w:val="6BA271A7"/>
    <w:rsid w:val="7A2D77E6"/>
    <w:rsid w:val="7CC43CC7"/>
    <w:rsid w:val="7D9B19E9"/>
    <w:rsid w:val="7DE45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0"/>
    <w:qFormat/>
    <w:uiPriority w:val="0"/>
    <w:pPr>
      <w:ind w:firstLine="420"/>
    </w:pPr>
  </w:style>
  <w:style w:type="paragraph" w:styleId="7">
    <w:name w:val="annotation text"/>
    <w:basedOn w:val="1"/>
    <w:link w:val="36"/>
    <w:qFormat/>
    <w:uiPriority w:val="0"/>
    <w:pPr>
      <w:jc w:val="left"/>
    </w:pPr>
    <w:rPr>
      <w:rFonts w:ascii="Calibri" w:hAnsi="Calibri" w:eastAsia="宋体" w:cs="Times New Roman"/>
      <w:szCs w:val="24"/>
    </w:rPr>
  </w:style>
  <w:style w:type="paragraph" w:styleId="8">
    <w:name w:val="Body Text"/>
    <w:basedOn w:val="1"/>
    <w:link w:val="32"/>
    <w:qFormat/>
    <w:uiPriority w:val="1"/>
    <w:pPr>
      <w:ind w:left="102"/>
    </w:pPr>
    <w:rPr>
      <w:rFonts w:ascii="仿宋" w:hAnsi="仿宋" w:eastAsia="仿宋"/>
      <w:sz w:val="28"/>
      <w:szCs w:val="28"/>
    </w:rPr>
  </w:style>
  <w:style w:type="paragraph" w:styleId="9">
    <w:name w:val="Body Text Indent"/>
    <w:basedOn w:val="1"/>
    <w:link w:val="37"/>
    <w:semiHidden/>
    <w:unhideWhenUsed/>
    <w:qFormat/>
    <w:uiPriority w:val="99"/>
    <w:pPr>
      <w:spacing w:after="120"/>
      <w:ind w:left="420" w:leftChars="200"/>
    </w:pPr>
  </w:style>
  <w:style w:type="paragraph" w:styleId="10">
    <w:name w:val="Balloon Text"/>
    <w:basedOn w:val="1"/>
    <w:link w:val="28"/>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9"/>
    <w:link w:val="38"/>
    <w:semiHidden/>
    <w:unhideWhenUsed/>
    <w:qFormat/>
    <w:uiPriority w:val="99"/>
    <w:pPr>
      <w:ind w:firstLine="420" w:firstLineChars="200"/>
    </w:pPr>
  </w:style>
  <w:style w:type="table" w:styleId="16">
    <w:name w:val="Table Grid"/>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qFormat/>
    <w:uiPriority w:val="0"/>
    <w:rPr>
      <w:sz w:val="21"/>
      <w:szCs w:val="21"/>
    </w:rPr>
  </w:style>
  <w:style w:type="character" w:customStyle="1" w:styleId="19">
    <w:name w:val="标题 1 字符"/>
    <w:basedOn w:val="17"/>
    <w:link w:val="2"/>
    <w:qFormat/>
    <w:uiPriority w:val="9"/>
    <w:rPr>
      <w:b/>
      <w:bCs/>
      <w:kern w:val="44"/>
      <w:sz w:val="44"/>
      <w:szCs w:val="44"/>
    </w:rPr>
  </w:style>
  <w:style w:type="table" w:customStyle="1" w:styleId="20">
    <w:name w:val="SGS Table Basic 11"/>
    <w:basedOn w:val="15"/>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1">
    <w:name w:val="页眉 字符"/>
    <w:basedOn w:val="17"/>
    <w:link w:val="12"/>
    <w:qFormat/>
    <w:uiPriority w:val="99"/>
    <w:rPr>
      <w:sz w:val="18"/>
      <w:szCs w:val="18"/>
    </w:rPr>
  </w:style>
  <w:style w:type="character" w:customStyle="1" w:styleId="22">
    <w:name w:val="页脚 字符"/>
    <w:basedOn w:val="17"/>
    <w:link w:val="11"/>
    <w:qFormat/>
    <w:uiPriority w:val="99"/>
    <w:rPr>
      <w:sz w:val="18"/>
      <w:szCs w:val="18"/>
    </w:rPr>
  </w:style>
  <w:style w:type="character" w:customStyle="1" w:styleId="23">
    <w:name w:val="NormalCharacter"/>
    <w:qFormat/>
    <w:uiPriority w:val="0"/>
    <w:rPr>
      <w:kern w:val="2"/>
      <w:sz w:val="21"/>
      <w:szCs w:val="22"/>
      <w:lang w:val="en-US" w:eastAsia="zh-CN" w:bidi="ar-SA"/>
    </w:rPr>
  </w:style>
  <w:style w:type="paragraph" w:customStyle="1" w:styleId="24">
    <w:name w:val="列出段落1"/>
    <w:basedOn w:val="1"/>
    <w:qFormat/>
    <w:uiPriority w:val="0"/>
    <w:pPr>
      <w:ind w:firstLine="200" w:firstLineChars="200"/>
    </w:pPr>
    <w:rPr>
      <w:rFonts w:ascii="Calibri" w:hAnsi="Calibri" w:eastAsia="宋体" w:cs="Times New Roman"/>
    </w:rPr>
  </w:style>
  <w:style w:type="paragraph" w:styleId="25">
    <w:name w:val="List Paragraph"/>
    <w:basedOn w:val="1"/>
    <w:qFormat/>
    <w:uiPriority w:val="34"/>
    <w:pPr>
      <w:ind w:firstLine="420"/>
    </w:pPr>
    <w:rPr>
      <w:rFonts w:ascii="Calibri" w:hAnsi="Calibri" w:eastAsia="宋体" w:cs="Times New Roman"/>
      <w:szCs w:val="24"/>
    </w:rPr>
  </w:style>
  <w:style w:type="character" w:customStyle="1" w:styleId="26">
    <w:name w:val="标题 2 字符"/>
    <w:basedOn w:val="17"/>
    <w:link w:val="3"/>
    <w:qFormat/>
    <w:uiPriority w:val="0"/>
    <w:rPr>
      <w:rFonts w:asciiTheme="majorHAnsi" w:hAnsiTheme="majorHAnsi" w:eastAsiaTheme="majorEastAsia" w:cstheme="majorBidi"/>
      <w:b/>
      <w:bCs/>
      <w:sz w:val="32"/>
      <w:szCs w:val="32"/>
    </w:rPr>
  </w:style>
  <w:style w:type="character" w:customStyle="1" w:styleId="27">
    <w:name w:val="标题 3 字符"/>
    <w:basedOn w:val="17"/>
    <w:link w:val="4"/>
    <w:qFormat/>
    <w:uiPriority w:val="0"/>
    <w:rPr>
      <w:b/>
      <w:bCs/>
      <w:sz w:val="32"/>
      <w:szCs w:val="32"/>
    </w:rPr>
  </w:style>
  <w:style w:type="character" w:customStyle="1" w:styleId="28">
    <w:name w:val="批注框文本 字符"/>
    <w:basedOn w:val="17"/>
    <w:link w:val="10"/>
    <w:semiHidden/>
    <w:qFormat/>
    <w:uiPriority w:val="99"/>
    <w:rPr>
      <w:sz w:val="18"/>
      <w:szCs w:val="18"/>
    </w:rPr>
  </w:style>
  <w:style w:type="paragraph" w:customStyle="1" w:styleId="29">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0">
    <w:name w:val="正文缩进 字符"/>
    <w:link w:val="6"/>
    <w:qFormat/>
    <w:uiPriority w:val="0"/>
  </w:style>
  <w:style w:type="paragraph" w:customStyle="1" w:styleId="31">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2">
    <w:name w:val="正文文本 字符"/>
    <w:basedOn w:val="17"/>
    <w:link w:val="8"/>
    <w:qFormat/>
    <w:uiPriority w:val="1"/>
    <w:rPr>
      <w:rFonts w:ascii="仿宋" w:hAnsi="仿宋" w:eastAsia="仿宋"/>
      <w:sz w:val="28"/>
      <w:szCs w:val="28"/>
    </w:rPr>
  </w:style>
  <w:style w:type="paragraph" w:customStyle="1" w:styleId="33">
    <w:name w:val="正文1"/>
    <w:basedOn w:val="1"/>
    <w:qFormat/>
    <w:uiPriority w:val="0"/>
    <w:pPr>
      <w:spacing w:line="360" w:lineRule="auto"/>
      <w:ind w:firstLine="361"/>
    </w:pPr>
    <w:rPr>
      <w:rFonts w:ascii="宋体" w:hAnsi="宋体" w:eastAsia="宋体" w:cs="Times New Roman"/>
      <w:szCs w:val="24"/>
    </w:rPr>
  </w:style>
  <w:style w:type="character" w:customStyle="1" w:styleId="34">
    <w:name w:val="正文缩进2格 Char"/>
    <w:link w:val="35"/>
    <w:qFormat/>
    <w:locked/>
    <w:uiPriority w:val="0"/>
    <w:rPr>
      <w:rFonts w:ascii="仿宋_GB2312" w:hAnsi="宋体" w:eastAsia="仿宋_GB2312"/>
      <w:sz w:val="31"/>
      <w:szCs w:val="28"/>
    </w:rPr>
  </w:style>
  <w:style w:type="paragraph" w:customStyle="1" w:styleId="35">
    <w:name w:val="正文缩进2格"/>
    <w:basedOn w:val="1"/>
    <w:link w:val="34"/>
    <w:qFormat/>
    <w:uiPriority w:val="0"/>
    <w:pPr>
      <w:spacing w:line="600" w:lineRule="exact"/>
      <w:ind w:firstLine="639" w:firstLineChars="206"/>
    </w:pPr>
    <w:rPr>
      <w:rFonts w:ascii="仿宋_GB2312" w:hAnsi="宋体" w:eastAsia="仿宋_GB2312"/>
      <w:sz w:val="31"/>
      <w:szCs w:val="28"/>
    </w:rPr>
  </w:style>
  <w:style w:type="character" w:customStyle="1" w:styleId="36">
    <w:name w:val="批注文字 字符"/>
    <w:basedOn w:val="17"/>
    <w:link w:val="7"/>
    <w:qFormat/>
    <w:uiPriority w:val="0"/>
    <w:rPr>
      <w:rFonts w:ascii="Calibri" w:hAnsi="Calibri" w:eastAsia="宋体" w:cs="Times New Roman"/>
      <w:kern w:val="2"/>
      <w:sz w:val="21"/>
      <w:szCs w:val="24"/>
    </w:rPr>
  </w:style>
  <w:style w:type="character" w:customStyle="1" w:styleId="37">
    <w:name w:val="正文文本缩进 字符"/>
    <w:basedOn w:val="17"/>
    <w:link w:val="9"/>
    <w:semiHidden/>
    <w:qFormat/>
    <w:uiPriority w:val="99"/>
    <w:rPr>
      <w:kern w:val="2"/>
      <w:sz w:val="21"/>
      <w:szCs w:val="22"/>
    </w:rPr>
  </w:style>
  <w:style w:type="character" w:customStyle="1" w:styleId="38">
    <w:name w:val="正文文本首行缩进 2 字符"/>
    <w:basedOn w:val="37"/>
    <w:link w:val="14"/>
    <w:semiHidden/>
    <w:qFormat/>
    <w:uiPriority w:val="99"/>
    <w:rPr>
      <w:kern w:val="2"/>
      <w:sz w:val="21"/>
      <w:szCs w:val="22"/>
    </w:rPr>
  </w:style>
  <w:style w:type="character" w:customStyle="1" w:styleId="39">
    <w:name w:val="标题 4 字符"/>
    <w:basedOn w:val="17"/>
    <w:link w:val="5"/>
    <w:semiHidden/>
    <w:qFormat/>
    <w:uiPriority w:val="9"/>
    <w:rPr>
      <w:rFonts w:asciiTheme="majorHAnsi" w:hAnsiTheme="majorHAnsi" w:eastAsiaTheme="majorEastAsia" w:cstheme="majorBidi"/>
      <w:b/>
      <w:bCs/>
      <w:kern w:val="2"/>
      <w:sz w:val="28"/>
      <w:szCs w:val="28"/>
    </w:rPr>
  </w:style>
  <w:style w:type="table" w:customStyle="1" w:styleId="40">
    <w:name w:val="网格型1"/>
    <w:basedOn w:val="15"/>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1">
    <w:name w:val="font21"/>
    <w:basedOn w:val="17"/>
    <w:qFormat/>
    <w:uiPriority w:val="0"/>
    <w:rPr>
      <w:rFonts w:hint="eastAsia" w:ascii="宋体" w:hAnsi="宋体" w:eastAsia="宋体" w:cs="宋体"/>
      <w:b/>
      <w:bCs/>
      <w:color w:val="000000"/>
      <w:sz w:val="24"/>
      <w:szCs w:val="24"/>
      <w:u w:val="none"/>
    </w:rPr>
  </w:style>
  <w:style w:type="character" w:customStyle="1" w:styleId="42">
    <w:name w:val="font51"/>
    <w:basedOn w:val="17"/>
    <w:qFormat/>
    <w:uiPriority w:val="0"/>
    <w:rPr>
      <w:rFonts w:hint="default" w:ascii="Times New Roman" w:hAnsi="Times New Roman" w:cs="Times New Roman"/>
      <w:b/>
      <w:bCs/>
      <w:color w:val="000000"/>
      <w:sz w:val="24"/>
      <w:szCs w:val="24"/>
      <w:u w:val="none"/>
    </w:rPr>
  </w:style>
  <w:style w:type="character" w:customStyle="1" w:styleId="43">
    <w:name w:val="font11"/>
    <w:basedOn w:val="1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C4D8-3D74-4771-A6ED-0F61FAE42ACD}">
  <ds:schemaRefs/>
</ds:datastoreItem>
</file>

<file path=docProps/app.xml><?xml version="1.0" encoding="utf-8"?>
<Properties xmlns="http://schemas.openxmlformats.org/officeDocument/2006/extended-properties" xmlns:vt="http://schemas.openxmlformats.org/officeDocument/2006/docPropsVTypes">
  <Template>Normal</Template>
  <Company>jshl2015</Company>
  <Pages>49</Pages>
  <Words>3914</Words>
  <Characters>22311</Characters>
  <Lines>185</Lines>
  <Paragraphs>52</Paragraphs>
  <TotalTime>163</TotalTime>
  <ScaleCrop>false</ScaleCrop>
  <LinksUpToDate>false</LinksUpToDate>
  <CharactersWithSpaces>26173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2023-10-09T09:19:00Z</dcterms:created>
  <dc:creator>bailing</dc:creator>
  <cp:lastModifiedBy>逍遥游</cp:lastModifiedBy>
  <cp:lastPrinted>2022-11-22T09:48:00Z</cp:lastPrinted>
  <dcterms:modified xsi:type="dcterms:W3CDTF">2024-01-02T06:39:23Z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156731E07F6B41E496FD01EC0CC85C85</vt:lpwstr>
  </property>
</Properties>
</file>