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5398A">
      <w:pPr>
        <w:spacing w:line="360" w:lineRule="auto"/>
        <w:jc w:val="center"/>
        <w:rPr>
          <w:rFonts w:ascii="仿宋" w:hAnsi="仿宋" w:eastAsia="仿宋" w:cs="仿宋"/>
          <w:b/>
          <w:sz w:val="28"/>
          <w:szCs w:val="28"/>
        </w:rPr>
      </w:pPr>
    </w:p>
    <w:p w14:paraId="7F713498">
      <w:pPr>
        <w:spacing w:line="360" w:lineRule="auto"/>
        <w:jc w:val="center"/>
        <w:rPr>
          <w:rFonts w:hint="eastAsia" w:ascii="Times New Roman" w:hAnsi="Times New Roman" w:eastAsia="黑体" w:cs="Times New Roman"/>
          <w:color w:val="000000"/>
          <w:w w:val="90"/>
          <w:kern w:val="0"/>
          <w:sz w:val="44"/>
          <w:szCs w:val="44"/>
          <w:lang w:val="en-US" w:eastAsia="zh-CN"/>
        </w:rPr>
      </w:pPr>
      <w:r>
        <w:rPr>
          <w:rFonts w:hint="eastAsia" w:ascii="Times New Roman" w:hAnsi="Times New Roman" w:eastAsia="黑体" w:cs="Times New Roman"/>
          <w:color w:val="000000"/>
          <w:w w:val="90"/>
          <w:kern w:val="0"/>
          <w:sz w:val="44"/>
          <w:szCs w:val="44"/>
          <w:lang w:val="en-US" w:eastAsia="zh-CN"/>
        </w:rPr>
        <w:t>2024年</w:t>
      </w:r>
      <w:r>
        <w:rPr>
          <w:rFonts w:hint="eastAsia" w:ascii="Times New Roman" w:hAnsi="Times New Roman" w:eastAsia="黑体" w:cs="Times New Roman"/>
          <w:color w:val="000000"/>
          <w:w w:val="90"/>
          <w:kern w:val="0"/>
          <w:sz w:val="44"/>
          <w:szCs w:val="44"/>
          <w:lang w:eastAsia="zh-CN"/>
        </w:rPr>
        <w:t>南通市</w:t>
      </w:r>
      <w:r>
        <w:rPr>
          <w:rFonts w:hint="eastAsia" w:ascii="Times New Roman" w:hAnsi="Times New Roman" w:eastAsia="黑体" w:cs="Times New Roman"/>
          <w:color w:val="000000"/>
          <w:w w:val="90"/>
          <w:kern w:val="0"/>
          <w:sz w:val="44"/>
          <w:szCs w:val="44"/>
          <w:lang w:val="en-US" w:eastAsia="zh-CN"/>
        </w:rPr>
        <w:t>动物疫病预防控制中心</w:t>
      </w:r>
    </w:p>
    <w:p w14:paraId="2A5A0B6D">
      <w:pPr>
        <w:spacing w:line="360" w:lineRule="auto"/>
        <w:jc w:val="center"/>
        <w:rPr>
          <w:rFonts w:hint="eastAsia" w:ascii="华文中宋" w:hAnsi="华文中宋" w:eastAsia="华文中宋" w:cs="Times New Roman"/>
          <w:b/>
          <w:sz w:val="56"/>
          <w:szCs w:val="56"/>
          <w:lang w:eastAsia="zh-CN"/>
        </w:rPr>
      </w:pPr>
      <w:r>
        <w:rPr>
          <w:rFonts w:hint="eastAsia" w:ascii="Times New Roman" w:hAnsi="Times New Roman" w:eastAsia="黑体" w:cs="Times New Roman"/>
          <w:color w:val="000000"/>
          <w:w w:val="90"/>
          <w:kern w:val="0"/>
          <w:sz w:val="44"/>
          <w:szCs w:val="44"/>
          <w:lang w:val="en-US" w:eastAsia="zh-CN"/>
        </w:rPr>
        <w:t>畜产品检测试剂耗材</w:t>
      </w:r>
      <w:r>
        <w:rPr>
          <w:rFonts w:hint="eastAsia" w:ascii="Times New Roman" w:hAnsi="Times New Roman" w:eastAsia="黑体" w:cs="Times New Roman"/>
          <w:color w:val="000000"/>
          <w:w w:val="90"/>
          <w:kern w:val="0"/>
          <w:sz w:val="44"/>
          <w:szCs w:val="44"/>
          <w:lang w:eastAsia="zh-CN"/>
        </w:rPr>
        <w:t>采购项目</w:t>
      </w:r>
    </w:p>
    <w:p w14:paraId="1B0C3095">
      <w:pPr>
        <w:spacing w:line="360" w:lineRule="auto"/>
        <w:jc w:val="center"/>
        <w:rPr>
          <w:rFonts w:hint="eastAsia" w:ascii="仿宋" w:hAnsi="仿宋" w:eastAsia="仿宋" w:cs="仿宋"/>
          <w:b/>
          <w:sz w:val="28"/>
          <w:szCs w:val="28"/>
        </w:rPr>
      </w:pPr>
    </w:p>
    <w:p w14:paraId="75476B78">
      <w:pPr>
        <w:spacing w:line="360" w:lineRule="auto"/>
        <w:jc w:val="center"/>
        <w:rPr>
          <w:rFonts w:ascii="仿宋" w:hAnsi="仿宋" w:eastAsia="仿宋" w:cs="仿宋"/>
          <w:b/>
          <w:sz w:val="28"/>
          <w:szCs w:val="28"/>
        </w:rPr>
      </w:pPr>
    </w:p>
    <w:p w14:paraId="4ECE29AA">
      <w:pPr>
        <w:autoSpaceDE w:val="0"/>
        <w:autoSpaceDN w:val="0"/>
        <w:adjustRightInd w:val="0"/>
        <w:jc w:val="center"/>
        <w:rPr>
          <w:rFonts w:ascii="华文中宋" w:hAnsi="华文中宋" w:eastAsia="华文中宋" w:cs="仿宋"/>
          <w:b/>
          <w:bCs/>
          <w:sz w:val="56"/>
          <w:szCs w:val="72"/>
        </w:rPr>
      </w:pPr>
      <w:r>
        <w:rPr>
          <w:rFonts w:hint="eastAsia" w:ascii="Times New Roman" w:hAnsi="Times New Roman" w:eastAsia="黑体" w:cs="Times New Roman"/>
          <w:color w:val="000000"/>
          <w:w w:val="90"/>
          <w:kern w:val="0"/>
          <w:sz w:val="44"/>
          <w:szCs w:val="44"/>
          <w:lang w:val="zh-CN" w:eastAsia="zh-CN"/>
        </w:rPr>
        <w:t>询价文件</w:t>
      </w:r>
    </w:p>
    <w:p w14:paraId="2DF2A5C3">
      <w:pPr>
        <w:spacing w:line="360" w:lineRule="auto"/>
        <w:jc w:val="center"/>
        <w:rPr>
          <w:rFonts w:ascii="仿宋" w:hAnsi="仿宋" w:eastAsia="仿宋" w:cs="仿宋"/>
          <w:b/>
          <w:sz w:val="28"/>
          <w:szCs w:val="28"/>
        </w:rPr>
      </w:pPr>
    </w:p>
    <w:p w14:paraId="51937482">
      <w:pPr>
        <w:spacing w:line="360" w:lineRule="auto"/>
        <w:jc w:val="center"/>
        <w:rPr>
          <w:rFonts w:ascii="仿宋" w:hAnsi="仿宋" w:eastAsia="仿宋" w:cs="仿宋"/>
          <w:b/>
          <w:sz w:val="28"/>
          <w:szCs w:val="28"/>
        </w:rPr>
      </w:pPr>
    </w:p>
    <w:p w14:paraId="23FBE454">
      <w:pPr>
        <w:spacing w:line="360" w:lineRule="auto"/>
        <w:jc w:val="center"/>
        <w:rPr>
          <w:rFonts w:ascii="仿宋" w:hAnsi="仿宋" w:eastAsia="仿宋" w:cs="仿宋"/>
          <w:b/>
          <w:sz w:val="28"/>
          <w:szCs w:val="28"/>
        </w:rPr>
      </w:pPr>
    </w:p>
    <w:p w14:paraId="0CB2F251">
      <w:pPr>
        <w:spacing w:line="360" w:lineRule="auto"/>
        <w:rPr>
          <w:rFonts w:ascii="仿宋" w:hAnsi="仿宋" w:eastAsia="仿宋" w:cs="仿宋"/>
          <w:b/>
          <w:sz w:val="28"/>
          <w:szCs w:val="28"/>
        </w:rPr>
      </w:pPr>
    </w:p>
    <w:p w14:paraId="0D0E6301">
      <w:pPr>
        <w:spacing w:line="360" w:lineRule="auto"/>
        <w:rPr>
          <w:rFonts w:ascii="仿宋" w:hAnsi="仿宋" w:eastAsia="仿宋" w:cs="仿宋"/>
          <w:b/>
          <w:sz w:val="28"/>
          <w:szCs w:val="28"/>
        </w:rPr>
      </w:pPr>
    </w:p>
    <w:p w14:paraId="01888AD3">
      <w:pPr>
        <w:spacing w:line="360" w:lineRule="auto"/>
        <w:rPr>
          <w:rFonts w:ascii="仿宋" w:hAnsi="仿宋" w:eastAsia="仿宋" w:cs="仿宋"/>
          <w:b/>
          <w:sz w:val="28"/>
          <w:szCs w:val="28"/>
        </w:rPr>
      </w:pPr>
    </w:p>
    <w:p w14:paraId="4CA1AE5B">
      <w:pPr>
        <w:spacing w:line="360" w:lineRule="auto"/>
        <w:rPr>
          <w:rFonts w:ascii="仿宋" w:hAnsi="仿宋" w:eastAsia="仿宋" w:cs="仿宋"/>
          <w:b/>
          <w:sz w:val="28"/>
          <w:szCs w:val="28"/>
        </w:rPr>
      </w:pPr>
    </w:p>
    <w:p w14:paraId="442FD6E0">
      <w:pPr>
        <w:spacing w:line="360" w:lineRule="auto"/>
        <w:rPr>
          <w:rFonts w:ascii="仿宋" w:hAnsi="仿宋" w:eastAsia="仿宋" w:cs="仿宋"/>
          <w:b/>
          <w:sz w:val="28"/>
          <w:szCs w:val="28"/>
        </w:rPr>
      </w:pPr>
    </w:p>
    <w:p w14:paraId="61CBBBB8">
      <w:pPr>
        <w:spacing w:line="360" w:lineRule="auto"/>
        <w:rPr>
          <w:rFonts w:ascii="仿宋" w:hAnsi="仿宋" w:eastAsia="仿宋" w:cs="仿宋"/>
          <w:b/>
          <w:sz w:val="28"/>
          <w:szCs w:val="28"/>
        </w:rPr>
      </w:pPr>
    </w:p>
    <w:p w14:paraId="69A991AA">
      <w:pPr>
        <w:spacing w:line="560" w:lineRule="exact"/>
        <w:jc w:val="center"/>
        <w:rPr>
          <w:rFonts w:hint="eastAsia" w:ascii="华文中宋" w:hAnsi="华文中宋" w:eastAsia="华文中宋" w:cs="仿宋"/>
          <w:b/>
          <w:sz w:val="28"/>
          <w:szCs w:val="28"/>
        </w:rPr>
      </w:pPr>
    </w:p>
    <w:p w14:paraId="61249D6A">
      <w:pPr>
        <w:spacing w:line="560" w:lineRule="exact"/>
        <w:jc w:val="center"/>
        <w:rPr>
          <w:rFonts w:ascii="华文中宋" w:hAnsi="华文中宋" w:eastAsia="华文中宋" w:cs="仿宋"/>
          <w:b/>
          <w:sz w:val="28"/>
          <w:szCs w:val="28"/>
        </w:rPr>
      </w:pPr>
      <w:r>
        <w:rPr>
          <w:rFonts w:hint="eastAsia" w:ascii="华文中宋" w:hAnsi="华文中宋" w:eastAsia="华文中宋" w:cs="仿宋"/>
          <w:b/>
          <w:sz w:val="28"/>
          <w:szCs w:val="28"/>
        </w:rPr>
        <w:t>二○二</w:t>
      </w:r>
      <w:r>
        <w:rPr>
          <w:rFonts w:hint="eastAsia" w:ascii="华文中宋" w:hAnsi="华文中宋" w:eastAsia="华文中宋" w:cs="仿宋"/>
          <w:b/>
          <w:sz w:val="28"/>
          <w:szCs w:val="28"/>
          <w:lang w:val="en-US" w:eastAsia="zh-CN"/>
        </w:rPr>
        <w:t>四</w:t>
      </w:r>
      <w:r>
        <w:rPr>
          <w:rFonts w:hint="eastAsia" w:ascii="华文中宋" w:hAnsi="华文中宋" w:eastAsia="华文中宋" w:cs="仿宋"/>
          <w:b/>
          <w:sz w:val="28"/>
          <w:szCs w:val="28"/>
        </w:rPr>
        <w:t>年</w:t>
      </w:r>
      <w:r>
        <w:rPr>
          <w:rFonts w:hint="eastAsia" w:ascii="华文中宋" w:hAnsi="华文中宋" w:eastAsia="华文中宋" w:cs="仿宋"/>
          <w:b/>
          <w:sz w:val="28"/>
          <w:szCs w:val="28"/>
          <w:lang w:val="en-US" w:eastAsia="zh-CN"/>
        </w:rPr>
        <w:t>九</w:t>
      </w:r>
      <w:r>
        <w:rPr>
          <w:rFonts w:hint="eastAsia" w:ascii="华文中宋" w:hAnsi="华文中宋" w:eastAsia="华文中宋" w:cs="仿宋"/>
          <w:b/>
          <w:sz w:val="28"/>
          <w:szCs w:val="28"/>
        </w:rPr>
        <w:t>月</w:t>
      </w:r>
      <w:r>
        <w:rPr>
          <w:rFonts w:hint="eastAsia" w:ascii="华文中宋" w:hAnsi="华文中宋" w:eastAsia="华文中宋" w:cs="仿宋"/>
          <w:b/>
          <w:sz w:val="28"/>
          <w:szCs w:val="28"/>
          <w:lang w:val="en-US" w:eastAsia="zh-CN"/>
        </w:rPr>
        <w:t>十一</w:t>
      </w:r>
      <w:r>
        <w:rPr>
          <w:rFonts w:hint="eastAsia" w:ascii="华文中宋" w:hAnsi="华文中宋" w:eastAsia="华文中宋" w:cs="仿宋"/>
          <w:b/>
          <w:sz w:val="28"/>
          <w:szCs w:val="28"/>
        </w:rPr>
        <w:t>日</w:t>
      </w:r>
    </w:p>
    <w:p w14:paraId="58571C2A">
      <w:pPr>
        <w:pBdr>
          <w:bottom w:val="single" w:color="auto" w:sz="4" w:space="1"/>
        </w:pBdr>
        <w:adjustRightInd w:val="0"/>
        <w:snapToGrid w:val="0"/>
        <w:spacing w:line="520" w:lineRule="exact"/>
        <w:ind w:left="-158" w:leftChars="-75"/>
        <w:rPr>
          <w:rFonts w:ascii="华文中宋" w:hAnsi="华文中宋" w:eastAsia="华文中宋" w:cs="仿宋"/>
          <w:b/>
          <w:snapToGrid w:val="0"/>
          <w:sz w:val="28"/>
          <w:szCs w:val="28"/>
          <w:u w:val="single"/>
        </w:rPr>
      </w:pPr>
      <w:r>
        <w:rPr>
          <w:rFonts w:hint="eastAsia" w:ascii="华文中宋" w:hAnsi="华文中宋" w:eastAsia="华文中宋" w:cs="仿宋"/>
          <w:b/>
          <w:snapToGrid w:val="0"/>
          <w:sz w:val="28"/>
          <w:szCs w:val="28"/>
          <w:u w:val="single"/>
        </w:rPr>
        <w:t xml:space="preserve">                                                             </w:t>
      </w:r>
      <w:r>
        <w:rPr>
          <w:rFonts w:ascii="华文中宋" w:hAnsi="华文中宋" w:eastAsia="华文中宋" w:cs="仿宋"/>
          <w:b/>
          <w:snapToGrid w:val="0"/>
          <w:sz w:val="28"/>
          <w:szCs w:val="28"/>
          <w:u w:val="single"/>
        </w:rPr>
        <w:t xml:space="preserve">                                    </w:t>
      </w:r>
      <w:r>
        <w:rPr>
          <w:rFonts w:hint="eastAsia" w:ascii="华文中宋" w:hAnsi="华文中宋" w:eastAsia="华文中宋" w:cs="仿宋"/>
          <w:b/>
          <w:snapToGrid w:val="0"/>
          <w:sz w:val="28"/>
          <w:szCs w:val="28"/>
          <w:u w:val="single"/>
        </w:rPr>
        <w:t xml:space="preserve">  </w:t>
      </w:r>
    </w:p>
    <w:p w14:paraId="6F82B67D">
      <w:pPr>
        <w:adjustRightInd w:val="0"/>
        <w:snapToGrid w:val="0"/>
        <w:spacing w:line="520" w:lineRule="exact"/>
        <w:ind w:left="-158" w:leftChars="-75"/>
        <w:rPr>
          <w:rFonts w:ascii="仿宋" w:hAnsi="仿宋" w:eastAsia="仿宋" w:cs="仿宋"/>
          <w:b/>
          <w:snapToGrid w:val="0"/>
          <w:sz w:val="24"/>
          <w:szCs w:val="24"/>
          <w:u w:val="single"/>
        </w:rPr>
      </w:pPr>
      <w:r>
        <w:rPr>
          <w:rFonts w:hint="eastAsia" w:ascii="华文中宋" w:hAnsi="华文中宋" w:eastAsia="华文中宋" w:cs="仿宋"/>
          <w:b/>
          <w:spacing w:val="20"/>
          <w:sz w:val="24"/>
          <w:szCs w:val="24"/>
        </w:rPr>
        <w:t>地址：江苏省南通市崇川区江海大道989号</w:t>
      </w:r>
      <w:r>
        <w:rPr>
          <w:rFonts w:ascii="华文中宋" w:hAnsi="华文中宋" w:eastAsia="华文中宋" w:cs="仿宋"/>
          <w:b/>
          <w:spacing w:val="20"/>
          <w:sz w:val="24"/>
          <w:szCs w:val="24"/>
        </w:rPr>
        <w:t xml:space="preserve">                   </w:t>
      </w:r>
      <w:r>
        <w:rPr>
          <w:rFonts w:hint="eastAsia" w:ascii="华文中宋" w:hAnsi="华文中宋" w:eastAsia="华文中宋" w:cs="仿宋"/>
          <w:b/>
          <w:spacing w:val="20"/>
          <w:sz w:val="24"/>
          <w:szCs w:val="24"/>
        </w:rPr>
        <w:t xml:space="preserve"> 邮编：</w:t>
      </w:r>
      <w:r>
        <w:rPr>
          <w:rFonts w:ascii="华文中宋" w:hAnsi="华文中宋" w:eastAsia="华文中宋" w:cs="仿宋"/>
          <w:b/>
          <w:spacing w:val="20"/>
          <w:sz w:val="24"/>
          <w:szCs w:val="24"/>
        </w:rPr>
        <w:t>226001</w:t>
      </w:r>
    </w:p>
    <w:p w14:paraId="42D7076A">
      <w:pPr>
        <w:autoSpaceDE w:val="0"/>
        <w:autoSpaceDN w:val="0"/>
        <w:adjustRightInd w:val="0"/>
        <w:spacing w:before="319" w:beforeLines="100" w:after="319" w:afterLines="100" w:line="360" w:lineRule="auto"/>
        <w:jc w:val="center"/>
        <w:outlineLvl w:val="0"/>
        <w:rPr>
          <w:rFonts w:hint="eastAsia" w:ascii="仿宋" w:hAnsi="仿宋" w:eastAsia="仿宋" w:cs="仿宋"/>
          <w:b/>
          <w:bCs/>
          <w:sz w:val="52"/>
          <w:szCs w:val="32"/>
          <w:lang w:val="zh-CN"/>
        </w:rPr>
      </w:pPr>
    </w:p>
    <w:p w14:paraId="01FDD9B0">
      <w:pPr>
        <w:autoSpaceDE w:val="0"/>
        <w:autoSpaceDN w:val="0"/>
        <w:adjustRightInd w:val="0"/>
        <w:spacing w:before="319" w:beforeLines="100" w:after="319" w:afterLines="100" w:line="360" w:lineRule="auto"/>
        <w:jc w:val="center"/>
        <w:outlineLvl w:val="0"/>
        <w:rPr>
          <w:rFonts w:ascii="仿宋" w:hAnsi="仿宋" w:eastAsia="仿宋" w:cs="仿宋"/>
          <w:b/>
          <w:bCs/>
          <w:sz w:val="52"/>
          <w:szCs w:val="32"/>
          <w:lang w:val="zh-CN"/>
        </w:rPr>
      </w:pPr>
      <w:r>
        <w:rPr>
          <w:rFonts w:hint="eastAsia" w:ascii="仿宋" w:hAnsi="仿宋" w:eastAsia="仿宋" w:cs="仿宋"/>
          <w:b/>
          <w:bCs/>
          <w:sz w:val="52"/>
          <w:szCs w:val="32"/>
          <w:lang w:val="zh-CN"/>
        </w:rPr>
        <w:t>目录</w:t>
      </w:r>
    </w:p>
    <w:p w14:paraId="5BF18851">
      <w:pPr>
        <w:widowControl/>
        <w:shd w:val="clear" w:color="auto" w:fill="FFFFFF"/>
        <w:spacing w:before="159" w:beforeLines="50" w:after="159" w:afterLines="50" w:line="360" w:lineRule="auto"/>
        <w:ind w:firstLine="562" w:firstLineChars="200"/>
        <w:jc w:val="left"/>
        <w:rPr>
          <w:rFonts w:ascii="仿宋" w:hAnsi="仿宋" w:eastAsia="仿宋" w:cs="仿宋"/>
          <w:b/>
          <w:sz w:val="28"/>
          <w:szCs w:val="24"/>
        </w:rPr>
      </w:pPr>
      <w:r>
        <w:rPr>
          <w:rFonts w:hint="eastAsia" w:ascii="仿宋" w:hAnsi="仿宋" w:eastAsia="仿宋" w:cs="仿宋"/>
          <w:b/>
          <w:sz w:val="28"/>
          <w:szCs w:val="24"/>
        </w:rPr>
        <w:t>第一部分  询价公告</w:t>
      </w:r>
    </w:p>
    <w:p w14:paraId="497A7D3F">
      <w:pPr>
        <w:widowControl/>
        <w:shd w:val="clear" w:color="auto" w:fill="FFFFFF"/>
        <w:spacing w:before="159" w:beforeLines="50" w:after="159" w:afterLines="50" w:line="360" w:lineRule="auto"/>
        <w:ind w:firstLine="562" w:firstLineChars="200"/>
        <w:rPr>
          <w:rFonts w:ascii="仿宋" w:hAnsi="仿宋" w:eastAsia="仿宋" w:cs="仿宋"/>
          <w:b/>
          <w:sz w:val="28"/>
          <w:szCs w:val="24"/>
        </w:rPr>
      </w:pPr>
      <w:r>
        <w:rPr>
          <w:rFonts w:hint="eastAsia" w:ascii="仿宋" w:hAnsi="仿宋" w:eastAsia="仿宋" w:cs="仿宋"/>
          <w:b/>
          <w:sz w:val="28"/>
          <w:szCs w:val="24"/>
        </w:rPr>
        <w:t>第二部分  询价须知</w:t>
      </w:r>
    </w:p>
    <w:p w14:paraId="12266F5F">
      <w:pPr>
        <w:widowControl/>
        <w:shd w:val="clear" w:color="auto" w:fill="FFFFFF"/>
        <w:spacing w:before="159" w:beforeLines="50" w:after="159" w:afterLines="50" w:line="360" w:lineRule="auto"/>
        <w:ind w:firstLine="562" w:firstLineChars="200"/>
        <w:jc w:val="left"/>
        <w:rPr>
          <w:rFonts w:ascii="仿宋" w:hAnsi="仿宋" w:eastAsia="仿宋" w:cs="仿宋"/>
          <w:b/>
          <w:sz w:val="28"/>
          <w:szCs w:val="24"/>
        </w:rPr>
      </w:pPr>
      <w:r>
        <w:rPr>
          <w:rFonts w:hint="eastAsia" w:ascii="仿宋" w:hAnsi="仿宋" w:eastAsia="仿宋" w:cs="仿宋"/>
          <w:b/>
          <w:sz w:val="28"/>
          <w:szCs w:val="24"/>
        </w:rPr>
        <w:t>第三部分  项目需求</w:t>
      </w:r>
    </w:p>
    <w:p w14:paraId="527C29A2">
      <w:pPr>
        <w:widowControl/>
        <w:shd w:val="clear" w:color="auto" w:fill="FFFFFF"/>
        <w:spacing w:before="159" w:beforeLines="50" w:after="159" w:afterLines="50" w:line="360" w:lineRule="auto"/>
        <w:ind w:firstLine="562" w:firstLineChars="200"/>
        <w:jc w:val="left"/>
        <w:rPr>
          <w:rFonts w:ascii="仿宋" w:hAnsi="仿宋" w:eastAsia="仿宋" w:cs="仿宋"/>
          <w:b/>
          <w:sz w:val="28"/>
          <w:szCs w:val="24"/>
        </w:rPr>
      </w:pPr>
      <w:r>
        <w:rPr>
          <w:rFonts w:hint="eastAsia" w:ascii="仿宋" w:hAnsi="仿宋" w:eastAsia="仿宋" w:cs="仿宋"/>
          <w:b/>
          <w:sz w:val="28"/>
          <w:szCs w:val="24"/>
        </w:rPr>
        <w:t>第四部分  评审方法和评审标准</w:t>
      </w:r>
    </w:p>
    <w:p w14:paraId="2BC8A303">
      <w:pPr>
        <w:widowControl/>
        <w:shd w:val="clear" w:color="auto" w:fill="FFFFFF"/>
        <w:spacing w:before="159" w:beforeLines="50" w:after="159" w:afterLines="50" w:line="360" w:lineRule="auto"/>
        <w:ind w:firstLine="562" w:firstLineChars="200"/>
        <w:jc w:val="left"/>
        <w:rPr>
          <w:rFonts w:ascii="仿宋" w:hAnsi="仿宋" w:eastAsia="仿宋" w:cs="仿宋"/>
          <w:b/>
          <w:sz w:val="28"/>
          <w:szCs w:val="24"/>
        </w:rPr>
      </w:pPr>
      <w:r>
        <w:rPr>
          <w:rFonts w:hint="eastAsia" w:ascii="仿宋" w:hAnsi="仿宋" w:eastAsia="仿宋" w:cs="仿宋"/>
          <w:b/>
          <w:sz w:val="28"/>
          <w:szCs w:val="24"/>
        </w:rPr>
        <w:t>第五部分  合同条款及格式</w:t>
      </w:r>
    </w:p>
    <w:p w14:paraId="59EDCE60">
      <w:pPr>
        <w:widowControl/>
        <w:shd w:val="clear" w:color="auto" w:fill="FFFFFF"/>
        <w:spacing w:before="159" w:beforeLines="50" w:after="159" w:afterLines="50" w:line="360" w:lineRule="auto"/>
        <w:ind w:firstLine="562" w:firstLineChars="200"/>
        <w:jc w:val="left"/>
        <w:rPr>
          <w:rFonts w:ascii="仿宋" w:hAnsi="仿宋" w:eastAsia="仿宋" w:cs="仿宋"/>
          <w:b/>
          <w:sz w:val="28"/>
          <w:szCs w:val="24"/>
        </w:rPr>
      </w:pPr>
      <w:r>
        <w:rPr>
          <w:rFonts w:hint="eastAsia" w:ascii="仿宋" w:hAnsi="仿宋" w:eastAsia="仿宋" w:cs="仿宋"/>
          <w:b/>
          <w:sz w:val="28"/>
          <w:szCs w:val="24"/>
        </w:rPr>
        <w:t>第六部分  响应文件组成</w:t>
      </w:r>
    </w:p>
    <w:p w14:paraId="21DF699F">
      <w:pPr>
        <w:widowControl/>
        <w:jc w:val="left"/>
        <w:rPr>
          <w:rFonts w:ascii="仿宋" w:hAnsi="仿宋" w:eastAsia="仿宋"/>
          <w:sz w:val="28"/>
          <w:szCs w:val="28"/>
        </w:rPr>
      </w:pPr>
      <w:r>
        <w:rPr>
          <w:rFonts w:ascii="仿宋" w:hAnsi="仿宋" w:eastAsia="仿宋"/>
          <w:sz w:val="28"/>
          <w:szCs w:val="28"/>
        </w:rPr>
        <w:br w:type="page"/>
      </w:r>
    </w:p>
    <w:p w14:paraId="67FDCE34">
      <w:pPr>
        <w:pStyle w:val="2"/>
        <w:spacing w:before="159" w:beforeLines="50" w:after="159" w:afterLines="50" w:line="360" w:lineRule="auto"/>
        <w:jc w:val="center"/>
        <w:rPr>
          <w:rFonts w:ascii="仿宋" w:hAnsi="仿宋" w:eastAsia="仿宋"/>
          <w:color w:val="auto"/>
          <w:sz w:val="32"/>
          <w:szCs w:val="32"/>
          <w:highlight w:val="none"/>
        </w:rPr>
      </w:pPr>
      <w:bookmarkStart w:id="0" w:name="_Hlk117003629"/>
      <w:r>
        <w:rPr>
          <w:rFonts w:hint="eastAsia" w:ascii="仿宋" w:hAnsi="仿宋" w:eastAsia="仿宋"/>
          <w:color w:val="auto"/>
          <w:sz w:val="32"/>
          <w:szCs w:val="32"/>
          <w:highlight w:val="none"/>
        </w:rPr>
        <w:t xml:space="preserve">第一部分 </w:t>
      </w:r>
      <w:bookmarkStart w:id="1" w:name="_Hlk81297243"/>
      <w:bookmarkStart w:id="2" w:name="_Hlk103330607"/>
      <w:r>
        <w:rPr>
          <w:rFonts w:hint="eastAsia" w:ascii="仿宋" w:hAnsi="仿宋" w:eastAsia="仿宋"/>
          <w:color w:val="auto"/>
          <w:sz w:val="32"/>
          <w:szCs w:val="32"/>
          <w:highlight w:val="none"/>
        </w:rPr>
        <w:t>询价公告</w:t>
      </w:r>
    </w:p>
    <w:bookmarkEnd w:id="1"/>
    <w:p w14:paraId="6F6C2B97">
      <w:pPr>
        <w:spacing w:line="360" w:lineRule="auto"/>
        <w:ind w:firstLine="480" w:firstLineChars="200"/>
        <w:rPr>
          <w:rFonts w:ascii="仿宋" w:hAnsi="仿宋" w:eastAsia="仿宋"/>
          <w:color w:val="auto"/>
          <w:sz w:val="24"/>
          <w:szCs w:val="24"/>
          <w:highlight w:val="none"/>
        </w:rPr>
      </w:pPr>
      <w:bookmarkStart w:id="3" w:name="OLE_LINK3"/>
      <w:bookmarkStart w:id="4" w:name="OLE_LINK2"/>
      <w:bookmarkStart w:id="5" w:name="_Hlk117005804"/>
      <w:r>
        <w:rPr>
          <w:rFonts w:hint="eastAsia" w:ascii="仿宋" w:hAnsi="仿宋" w:eastAsia="仿宋"/>
          <w:color w:val="auto"/>
          <w:sz w:val="24"/>
          <w:szCs w:val="24"/>
          <w:highlight w:val="none"/>
          <w:lang w:val="en-US" w:eastAsia="zh-CN"/>
        </w:rPr>
        <w:t>2024年</w:t>
      </w:r>
      <w:r>
        <w:rPr>
          <w:rFonts w:hint="eastAsia" w:ascii="仿宋" w:hAnsi="仿宋" w:eastAsia="仿宋"/>
          <w:color w:val="auto"/>
          <w:sz w:val="24"/>
          <w:szCs w:val="24"/>
          <w:highlight w:val="none"/>
          <w:lang w:eastAsia="zh-CN"/>
        </w:rPr>
        <w:t>南通市</w:t>
      </w:r>
      <w:r>
        <w:rPr>
          <w:rFonts w:hint="eastAsia" w:ascii="仿宋" w:hAnsi="仿宋" w:eastAsia="仿宋"/>
          <w:color w:val="auto"/>
          <w:sz w:val="24"/>
          <w:szCs w:val="24"/>
          <w:highlight w:val="none"/>
          <w:lang w:val="en-US" w:eastAsia="zh-CN"/>
        </w:rPr>
        <w:t>动物疫病预防控制</w:t>
      </w:r>
      <w:r>
        <w:rPr>
          <w:rFonts w:hint="eastAsia" w:ascii="仿宋" w:hAnsi="仿宋" w:eastAsia="仿宋"/>
          <w:color w:val="auto"/>
          <w:sz w:val="24"/>
          <w:szCs w:val="24"/>
          <w:highlight w:val="none"/>
          <w:lang w:eastAsia="zh-CN"/>
        </w:rPr>
        <w:t>中心</w:t>
      </w:r>
      <w:r>
        <w:rPr>
          <w:rFonts w:hint="eastAsia" w:ascii="仿宋" w:hAnsi="仿宋" w:eastAsia="仿宋"/>
          <w:color w:val="auto"/>
          <w:sz w:val="24"/>
          <w:szCs w:val="24"/>
          <w:highlight w:val="none"/>
          <w:lang w:val="en-US" w:eastAsia="zh-CN"/>
        </w:rPr>
        <w:t>畜产品检测试剂耗材</w:t>
      </w:r>
      <w:r>
        <w:rPr>
          <w:rFonts w:hint="eastAsia" w:ascii="仿宋" w:hAnsi="仿宋" w:eastAsia="仿宋"/>
          <w:color w:val="auto"/>
          <w:sz w:val="24"/>
          <w:szCs w:val="24"/>
          <w:highlight w:val="none"/>
          <w:lang w:eastAsia="zh-CN"/>
        </w:rPr>
        <w:t>采购项目</w:t>
      </w:r>
      <w:r>
        <w:rPr>
          <w:rFonts w:hint="eastAsia" w:ascii="仿宋" w:hAnsi="仿宋" w:eastAsia="仿宋"/>
          <w:color w:val="auto"/>
          <w:sz w:val="24"/>
          <w:szCs w:val="24"/>
          <w:highlight w:val="none"/>
        </w:rPr>
        <w:t>进行询价采购，欢迎符合条件的供应商参加。</w:t>
      </w:r>
    </w:p>
    <w:p w14:paraId="64B42D03">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一、项目基本情况</w:t>
      </w:r>
    </w:p>
    <w:p w14:paraId="78FA688A">
      <w:pPr>
        <w:widowControl/>
        <w:shd w:val="clear" w:color="auto" w:fill="FFFFFF"/>
        <w:spacing w:line="360" w:lineRule="auto"/>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2024年</w:t>
      </w:r>
      <w:r>
        <w:rPr>
          <w:rFonts w:hint="eastAsia" w:ascii="仿宋" w:hAnsi="仿宋" w:eastAsia="仿宋"/>
          <w:color w:val="auto"/>
          <w:sz w:val="24"/>
          <w:szCs w:val="24"/>
          <w:highlight w:val="none"/>
          <w:lang w:eastAsia="zh-CN"/>
        </w:rPr>
        <w:t>南通市</w:t>
      </w:r>
      <w:r>
        <w:rPr>
          <w:rFonts w:hint="eastAsia" w:ascii="仿宋" w:hAnsi="仿宋" w:eastAsia="仿宋"/>
          <w:color w:val="auto"/>
          <w:sz w:val="24"/>
          <w:szCs w:val="24"/>
          <w:highlight w:val="none"/>
          <w:lang w:val="en-US" w:eastAsia="zh-CN"/>
        </w:rPr>
        <w:t>动物疫病预防控制</w:t>
      </w:r>
      <w:r>
        <w:rPr>
          <w:rFonts w:hint="eastAsia" w:ascii="仿宋" w:hAnsi="仿宋" w:eastAsia="仿宋"/>
          <w:color w:val="auto"/>
          <w:sz w:val="24"/>
          <w:szCs w:val="24"/>
          <w:highlight w:val="none"/>
          <w:lang w:eastAsia="zh-CN"/>
        </w:rPr>
        <w:t>中心</w:t>
      </w:r>
      <w:r>
        <w:rPr>
          <w:rFonts w:hint="eastAsia" w:ascii="仿宋" w:hAnsi="仿宋" w:eastAsia="仿宋"/>
          <w:color w:val="auto"/>
          <w:sz w:val="24"/>
          <w:szCs w:val="24"/>
          <w:highlight w:val="none"/>
          <w:lang w:val="en-US" w:eastAsia="zh-CN"/>
        </w:rPr>
        <w:t>畜产品检测试剂耗材</w:t>
      </w:r>
      <w:r>
        <w:rPr>
          <w:rFonts w:hint="eastAsia" w:ascii="仿宋" w:hAnsi="仿宋" w:eastAsia="仿宋"/>
          <w:color w:val="auto"/>
          <w:sz w:val="24"/>
          <w:szCs w:val="24"/>
          <w:highlight w:val="none"/>
          <w:lang w:eastAsia="zh-CN"/>
        </w:rPr>
        <w:t>采购项目</w:t>
      </w:r>
    </w:p>
    <w:p w14:paraId="72EDADE6">
      <w:pPr>
        <w:widowControl/>
        <w:shd w:val="clear" w:color="auto" w:fill="FFFFFF"/>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采购方式：询价</w:t>
      </w:r>
    </w:p>
    <w:p w14:paraId="0584AD1E">
      <w:pPr>
        <w:widowControl/>
        <w:shd w:val="clear" w:color="auto" w:fill="FFFFFF"/>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项目类型：货物</w:t>
      </w:r>
      <w:bookmarkStart w:id="245" w:name="_GoBack"/>
      <w:bookmarkEnd w:id="245"/>
    </w:p>
    <w:p w14:paraId="5C05417B">
      <w:pPr>
        <w:widowControl/>
        <w:shd w:val="clear" w:color="auto" w:fill="FFFFFF"/>
        <w:spacing w:line="360" w:lineRule="auto"/>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所属行业：工业</w:t>
      </w:r>
    </w:p>
    <w:p w14:paraId="408B479B">
      <w:pPr>
        <w:widowControl/>
        <w:shd w:val="clear" w:color="auto" w:fill="FFFFFF"/>
        <w:spacing w:line="360" w:lineRule="auto"/>
        <w:ind w:firstLine="480" w:firstLineChars="2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采购</w:t>
      </w:r>
      <w:r>
        <w:rPr>
          <w:rFonts w:hint="eastAsia" w:ascii="仿宋" w:hAnsi="仿宋" w:eastAsia="仿宋" w:cs="仿宋"/>
          <w:color w:val="000000" w:themeColor="text1"/>
          <w:sz w:val="24"/>
          <w:szCs w:val="24"/>
          <w:highlight w:val="none"/>
          <w14:textFill>
            <w14:solidFill>
              <w14:schemeClr w14:val="tx1"/>
            </w14:solidFill>
          </w14:textFill>
        </w:rPr>
        <w:t>金额：</w:t>
      </w:r>
      <w:r>
        <w:rPr>
          <w:rFonts w:hint="eastAsia" w:ascii="仿宋" w:hAnsi="仿宋" w:eastAsia="仿宋" w:cs="仿宋"/>
          <w:color w:val="000000" w:themeColor="text1"/>
          <w:sz w:val="24"/>
          <w:szCs w:val="24"/>
          <w:highlight w:val="none"/>
          <w:lang w:val="en-US" w:eastAsia="zh-CN"/>
          <w14:textFill>
            <w14:solidFill>
              <w14:schemeClr w14:val="tx1"/>
            </w14:solidFill>
          </w14:textFill>
        </w:rPr>
        <w:t>本项目按分包以单价报价的形式采购，分包1单价不超过3.5万元；分包2单价不超过1.5万元；包3单价不超过3.5万元；包4单价不超过0.4万元；包5单价不超过3.5万元。超过限价的为无效响应文件。</w:t>
      </w:r>
    </w:p>
    <w:p w14:paraId="1C16C9EA">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olor w:val="auto"/>
          <w:sz w:val="24"/>
          <w:szCs w:val="24"/>
          <w:highlight w:val="none"/>
        </w:rPr>
        <w:t>采购需求</w:t>
      </w:r>
      <w:r>
        <w:rPr>
          <w:rFonts w:hint="eastAsia" w:ascii="仿宋" w:hAnsi="仿宋" w:eastAsia="仿宋"/>
          <w:color w:val="auto"/>
          <w:sz w:val="24"/>
          <w:szCs w:val="24"/>
          <w:highlight w:val="none"/>
          <w:lang w:val="en-US" w:eastAsia="zh-CN"/>
        </w:rPr>
        <w:t>和</w:t>
      </w:r>
      <w:r>
        <w:rPr>
          <w:rFonts w:hint="eastAsia" w:ascii="仿宋" w:hAnsi="仿宋" w:eastAsia="仿宋" w:cs="仿宋"/>
          <w:color w:val="auto"/>
          <w:sz w:val="24"/>
          <w:szCs w:val="24"/>
          <w:highlight w:val="none"/>
        </w:rPr>
        <w:t>合同履行期限</w:t>
      </w:r>
      <w:r>
        <w:rPr>
          <w:rFonts w:hint="eastAsia" w:ascii="仿宋" w:hAnsi="仿宋" w:eastAsia="仿宋"/>
          <w:color w:val="auto"/>
          <w:sz w:val="24"/>
          <w:szCs w:val="24"/>
          <w:highlight w:val="none"/>
        </w:rPr>
        <w:t>：详见第三部分项目需求。</w:t>
      </w:r>
    </w:p>
    <w:p w14:paraId="028CE23A">
      <w:pPr>
        <w:widowControl/>
        <w:shd w:val="clear" w:color="auto" w:fill="FFFFFF"/>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项目需求</w:t>
      </w:r>
      <w:r>
        <w:rPr>
          <w:rFonts w:hint="eastAsia" w:ascii="仿宋" w:hAnsi="仿宋" w:eastAsia="仿宋" w:cs="仿宋"/>
          <w:color w:val="auto"/>
          <w:sz w:val="24"/>
          <w:szCs w:val="24"/>
          <w:highlight w:val="none"/>
        </w:rPr>
        <w:t>中的建议品牌，只是建议所采购产品的档次。供应商可以选择建议品牌，也可以选择建议品牌以外的品牌，但所选品牌档次须等于或高于建议品牌档次。选择建议品牌以外的品牌，须提供第三方检测机构出具的有效期内的检测报告等能够证明等于或高于建议品牌档次的产品证明材料。如未提供则视其为重大漏项，作无效投标文件处理；同时经三分之二评委认定，所选品牌型号档次等于或优于建议品牌型号档次的，可视作完全响应建议品牌型号产品，否则将作无效投标处理。</w:t>
      </w:r>
      <w:r>
        <w:rPr>
          <w:rFonts w:hint="eastAsia" w:ascii="仿宋" w:hAnsi="仿宋" w:eastAsia="仿宋"/>
          <w:color w:val="auto"/>
          <w:sz w:val="24"/>
          <w:szCs w:val="24"/>
          <w:highlight w:val="none"/>
          <w:lang w:val="en-US" w:eastAsia="zh-CN"/>
        </w:rPr>
        <w:t>投标单位只能按包投标，可以选择其任意一包参与投标，也可以同时选择几个包投标，但不能拆项投标，否则该包投标无效。</w:t>
      </w:r>
    </w:p>
    <w:p w14:paraId="4E902AE9">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二、供应商的资格要求：</w:t>
      </w:r>
    </w:p>
    <w:p w14:paraId="1ADB7F17">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65B15A05">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落实政府采购政策需满足的资格要求：无。</w:t>
      </w:r>
    </w:p>
    <w:p w14:paraId="381F243B">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本项目的特定资格要求：供应商未被“信用中国”网站（www.creditchina.gov.cn）列入失信被执行人、重大税收违法案件当事人名单、政府采购严重失信行为记录名单。</w:t>
      </w:r>
    </w:p>
    <w:p w14:paraId="609146BA">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、响应文件提交截止时间和地点</w:t>
      </w:r>
    </w:p>
    <w:p w14:paraId="09FE455D">
      <w:pPr>
        <w:pStyle w:val="15"/>
        <w:keepNext w:val="0"/>
        <w:keepLines w:val="0"/>
        <w:widowControl/>
        <w:suppressLineNumbers w:val="0"/>
        <w:pBdr>
          <w:top w:val="none" w:color="auto" w:sz="0" w:space="0"/>
          <w:left w:val="none" w:color="auto" w:sz="0" w:space="0"/>
          <w:bottom w:val="none" w:color="auto" w:sz="0" w:space="0"/>
          <w:right w:val="none" w:color="auto" w:sz="0" w:space="0"/>
        </w:pBdr>
        <w:overflowPunct w:val="0"/>
        <w:topLinePunct/>
        <w:spacing w:before="0" w:beforeAutospacing="0" w:after="76" w:afterAutospacing="0" w:line="525" w:lineRule="atLeast"/>
        <w:ind w:right="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投标人应于2024年9月14日17时30分（北京时间）前用顺丰或EMS寄出（以邮戳时间为准），地址：南通市崇川区江海大道989号 南通市动物疫病预防控制中心。联系人：陈先生，电话：13813776121。</w:t>
      </w:r>
    </w:p>
    <w:p w14:paraId="63F1A8AB">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、公告期限</w:t>
      </w:r>
    </w:p>
    <w:p w14:paraId="74CF7B51">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个工作日。</w:t>
      </w:r>
    </w:p>
    <w:p w14:paraId="1790591C">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、成交原则、方式</w:t>
      </w:r>
    </w:p>
    <w:p w14:paraId="43CDC580">
      <w:pPr>
        <w:widowControl/>
        <w:shd w:val="clear" w:color="auto" w:fill="FFFFFF"/>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1.按照质量和服务均能满足询价采购文件实质性响应要求且</w:t>
      </w:r>
      <w:r>
        <w:rPr>
          <w:rFonts w:hint="eastAsia" w:ascii="仿宋" w:hAnsi="仿宋" w:eastAsia="仿宋" w:cs="仿宋"/>
          <w:color w:val="auto"/>
          <w:sz w:val="24"/>
          <w:szCs w:val="24"/>
          <w:highlight w:val="none"/>
          <w:lang w:val="en-US" w:eastAsia="zh-CN"/>
        </w:rPr>
        <w:t>以</w:t>
      </w:r>
      <w:r>
        <w:rPr>
          <w:rFonts w:hint="eastAsia" w:ascii="仿宋" w:hAnsi="仿宋" w:eastAsia="仿宋" w:cs="仿宋"/>
          <w:color w:val="auto"/>
          <w:sz w:val="24"/>
          <w:szCs w:val="24"/>
          <w:highlight w:val="none"/>
        </w:rPr>
        <w:t>报价最低原则，确定成交供应商。供应商随意、恶意报价，或未按询价文件要求进行报价的，将</w:t>
      </w:r>
      <w:r>
        <w:rPr>
          <w:rFonts w:hint="eastAsia" w:ascii="仿宋" w:hAnsi="仿宋" w:eastAsia="仿宋" w:cs="仿宋"/>
          <w:color w:val="auto"/>
          <w:sz w:val="24"/>
          <w:szCs w:val="24"/>
          <w:highlight w:val="none"/>
          <w:lang w:val="en-US" w:eastAsia="zh-CN"/>
        </w:rPr>
        <w:t>取消其中标资格</w:t>
      </w:r>
      <w:r>
        <w:rPr>
          <w:rFonts w:hint="eastAsia" w:ascii="仿宋" w:hAnsi="仿宋" w:eastAsia="仿宋" w:cs="仿宋"/>
          <w:color w:val="auto"/>
          <w:sz w:val="24"/>
          <w:szCs w:val="24"/>
          <w:highlight w:val="none"/>
        </w:rPr>
        <w:t>。</w:t>
      </w:r>
    </w:p>
    <w:p w14:paraId="28F59F17">
      <w:pPr>
        <w:widowControl/>
        <w:shd w:val="clear" w:color="auto" w:fill="FFFFFF"/>
        <w:spacing w:line="360" w:lineRule="auto"/>
        <w:ind w:firstLine="480" w:firstLineChars="200"/>
        <w:jc w:val="left"/>
        <w:rPr>
          <w:rFonts w:hint="eastAsia" w:ascii="仿宋" w:hAnsi="仿宋" w:eastAsia="仿宋" w:cs="仿宋"/>
          <w:color w:val="0000FF"/>
          <w:sz w:val="24"/>
          <w:szCs w:val="24"/>
          <w:highlight w:val="none"/>
          <w:lang w:val="en-US" w:eastAsia="zh-CN"/>
        </w:rPr>
      </w:pPr>
      <w:r>
        <w:rPr>
          <w:rFonts w:hint="eastAsia" w:ascii="仿宋" w:hAnsi="仿宋" w:eastAsia="仿宋" w:cs="仿宋"/>
          <w:color w:val="auto"/>
          <w:sz w:val="24"/>
          <w:szCs w:val="24"/>
          <w:highlight w:val="none"/>
          <w:lang w:val="en-US" w:eastAsia="zh-CN"/>
        </w:rPr>
        <w:t>2.采用单价成交，按实际需求供货。</w:t>
      </w:r>
    </w:p>
    <w:p w14:paraId="34457AFF">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、其他补充事宜</w:t>
      </w:r>
    </w:p>
    <w:p w14:paraId="6B407ED9">
      <w:pPr>
        <w:widowControl/>
        <w:shd w:val="clear" w:color="auto" w:fill="FFFFFF"/>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1.投标保证金：免收。</w:t>
      </w:r>
    </w:p>
    <w:p w14:paraId="2A50F598">
      <w:pPr>
        <w:widowControl/>
        <w:shd w:val="clear" w:color="auto" w:fill="FFFFFF"/>
        <w:spacing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2.履约保证金：</w:t>
      </w:r>
      <w:r>
        <w:rPr>
          <w:rFonts w:hint="eastAsia" w:ascii="仿宋" w:hAnsi="仿宋" w:eastAsia="仿宋" w:cs="仿宋"/>
          <w:bCs/>
          <w:color w:val="auto"/>
          <w:sz w:val="24"/>
          <w:szCs w:val="24"/>
          <w:highlight w:val="none"/>
          <w:lang w:val="en-US" w:eastAsia="zh-CN"/>
        </w:rPr>
        <w:t>免收。</w:t>
      </w:r>
    </w:p>
    <w:p w14:paraId="6A2A4E4B">
      <w:pPr>
        <w:widowControl/>
        <w:shd w:val="clear" w:color="auto" w:fill="FFFFFF"/>
        <w:tabs>
          <w:tab w:val="left" w:pos="3575"/>
        </w:tabs>
        <w:spacing w:line="360" w:lineRule="auto"/>
        <w:ind w:firstLine="480" w:firstLineChars="200"/>
        <w:jc w:val="left"/>
        <w:rPr>
          <w:rFonts w:ascii="仿宋" w:hAnsi="仿宋" w:eastAsia="仿宋" w:cs="仿宋"/>
          <w:bCs/>
          <w:color w:val="auto"/>
          <w:sz w:val="24"/>
          <w:szCs w:val="24"/>
          <w:highlight w:val="none"/>
        </w:rPr>
      </w:pPr>
      <w:bookmarkStart w:id="6" w:name="_Hlk144735647"/>
      <w:r>
        <w:rPr>
          <w:rFonts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rPr>
        <w:t>项目开标活动模式：</w:t>
      </w:r>
      <w:r>
        <w:rPr>
          <w:rFonts w:hint="eastAsia" w:ascii="仿宋" w:hAnsi="仿宋" w:eastAsia="仿宋" w:cs="仿宋"/>
          <w:bCs/>
          <w:color w:val="auto"/>
          <w:sz w:val="24"/>
          <w:szCs w:val="24"/>
          <w:highlight w:val="none"/>
          <w:lang w:val="en-US" w:eastAsia="zh-CN"/>
        </w:rPr>
        <w:t>邮寄响应文件，另行开标。</w:t>
      </w:r>
    </w:p>
    <w:bookmarkEnd w:id="6"/>
    <w:p w14:paraId="743BF8EE">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rPr>
        <w:t>对项目需求部分（项目需求）的询问、质疑请向采购人提出，由采购人负责答复。</w:t>
      </w:r>
    </w:p>
    <w:p w14:paraId="661ABF34">
      <w:pPr>
        <w:widowControl/>
        <w:shd w:val="clear" w:color="auto" w:fill="FFFFFF"/>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w:t>
      </w: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rPr>
        <w:t>供应商应依照规定提交各类声明函、承诺函和相关证明材料复印件并加盖公章，不再同时提供原件备查或提供有关部门出具的相关证明文件。成交供应商供货时应做好提交声明函、承诺函相应原件的核查准备；核查后发现虚假或违背承诺的，采购人有权拒收并依照相关法律法规规定处理。</w:t>
      </w:r>
    </w:p>
    <w:p w14:paraId="48DB7D25">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、对本次采购提出询问，请按以下方式联系。</w:t>
      </w:r>
    </w:p>
    <w:p w14:paraId="53C12E67">
      <w:pPr>
        <w:widowControl/>
        <w:shd w:val="clear" w:color="auto" w:fill="FFFFFF"/>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采购人信息</w:t>
      </w:r>
      <w:r>
        <w:rPr>
          <w:rFonts w:hint="eastAsia" w:ascii="仿宋" w:hAnsi="仿宋" w:eastAsia="仿宋" w:cs="仿宋"/>
          <w:color w:val="auto"/>
          <w:sz w:val="24"/>
          <w:szCs w:val="24"/>
          <w:highlight w:val="none"/>
          <w:lang w:eastAsia="zh-CN"/>
        </w:rPr>
        <w:t>：</w:t>
      </w:r>
    </w:p>
    <w:p w14:paraId="7728D811">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名称：南通市</w:t>
      </w:r>
      <w:r>
        <w:rPr>
          <w:rFonts w:hint="eastAsia" w:ascii="仿宋" w:hAnsi="仿宋" w:eastAsia="仿宋" w:cs="仿宋"/>
          <w:color w:val="auto"/>
          <w:sz w:val="24"/>
          <w:szCs w:val="24"/>
          <w:highlight w:val="none"/>
          <w:lang w:val="en-US" w:eastAsia="zh-CN"/>
        </w:rPr>
        <w:t>动物疫病预防控制</w:t>
      </w:r>
      <w:r>
        <w:rPr>
          <w:rFonts w:hint="eastAsia" w:ascii="仿宋" w:hAnsi="仿宋" w:eastAsia="仿宋" w:cs="仿宋"/>
          <w:color w:val="auto"/>
          <w:sz w:val="24"/>
          <w:szCs w:val="24"/>
          <w:highlight w:val="none"/>
        </w:rPr>
        <w:t>中心</w:t>
      </w:r>
    </w:p>
    <w:p w14:paraId="0DDA9C10">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地址：江苏省南通市崇川区江海大道989号</w:t>
      </w:r>
    </w:p>
    <w:p w14:paraId="7366B1CE">
      <w:pPr>
        <w:widowControl/>
        <w:shd w:val="clear" w:color="auto" w:fill="FFFFFF"/>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陈先生</w:t>
      </w:r>
      <w:r>
        <w:rPr>
          <w:rFonts w:hint="eastAsia" w:ascii="仿宋" w:hAnsi="仿宋" w:eastAsia="仿宋" w:cs="仿宋"/>
          <w:color w:val="auto"/>
          <w:sz w:val="24"/>
          <w:szCs w:val="24"/>
          <w:highlight w:val="none"/>
        </w:rPr>
        <w:t>（0513-</w:t>
      </w:r>
      <w:r>
        <w:rPr>
          <w:rFonts w:hint="eastAsia" w:ascii="仿宋" w:hAnsi="仿宋" w:eastAsia="仿宋" w:cs="仿宋"/>
          <w:color w:val="auto"/>
          <w:sz w:val="24"/>
          <w:szCs w:val="24"/>
          <w:highlight w:val="none"/>
          <w:lang w:val="en-US" w:eastAsia="zh-CN"/>
        </w:rPr>
        <w:t>85675955/13813776121</w:t>
      </w:r>
      <w:r>
        <w:rPr>
          <w:rFonts w:hint="eastAsia" w:ascii="仿宋" w:hAnsi="仿宋" w:eastAsia="仿宋" w:cs="仿宋"/>
          <w:color w:val="auto"/>
          <w:sz w:val="24"/>
          <w:szCs w:val="24"/>
          <w:highlight w:val="none"/>
        </w:rPr>
        <w:t>）</w:t>
      </w:r>
    </w:p>
    <w:p w14:paraId="121C524C">
      <w:pPr>
        <w:widowControl/>
        <w:shd w:val="clear" w:color="auto" w:fill="FFFFFF"/>
        <w:spacing w:line="360" w:lineRule="auto"/>
        <w:ind w:firstLine="480" w:firstLineChars="200"/>
        <w:jc w:val="left"/>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监督电话：沈女士（0513-59002196）</w:t>
      </w:r>
    </w:p>
    <w:p w14:paraId="7400E193">
      <w:pPr>
        <w:widowControl/>
        <w:shd w:val="clear" w:color="auto" w:fill="FFFFFF"/>
        <w:spacing w:line="360" w:lineRule="auto"/>
        <w:ind w:firstLine="482" w:firstLineChars="200"/>
        <w:jc w:val="righ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南通市</w:t>
      </w:r>
      <w:r>
        <w:rPr>
          <w:rFonts w:hint="eastAsia" w:ascii="仿宋" w:hAnsi="仿宋" w:eastAsia="仿宋" w:cs="仿宋"/>
          <w:b/>
          <w:color w:val="auto"/>
          <w:sz w:val="24"/>
          <w:szCs w:val="24"/>
          <w:highlight w:val="none"/>
          <w:lang w:val="en-US" w:eastAsia="zh-CN"/>
        </w:rPr>
        <w:t>动物疫病预防控制</w:t>
      </w:r>
      <w:r>
        <w:rPr>
          <w:rFonts w:hint="eastAsia" w:ascii="仿宋" w:hAnsi="仿宋" w:eastAsia="仿宋" w:cs="仿宋"/>
          <w:b/>
          <w:color w:val="auto"/>
          <w:sz w:val="24"/>
          <w:szCs w:val="24"/>
          <w:highlight w:val="none"/>
        </w:rPr>
        <w:t>中心</w:t>
      </w:r>
    </w:p>
    <w:bookmarkEnd w:id="2"/>
    <w:bookmarkEnd w:id="3"/>
    <w:bookmarkEnd w:id="4"/>
    <w:p w14:paraId="6F6231A2">
      <w:pPr>
        <w:widowControl/>
        <w:shd w:val="clear" w:color="auto" w:fill="FFFFFF"/>
        <w:spacing w:line="360" w:lineRule="auto"/>
        <w:ind w:firstLine="482" w:firstLineChars="200"/>
        <w:jc w:val="right"/>
        <w:rPr>
          <w:rFonts w:ascii="仿宋" w:hAnsi="仿宋" w:eastAsia="仿宋"/>
          <w:color w:val="auto"/>
          <w:sz w:val="24"/>
          <w:szCs w:val="24"/>
          <w:highlight w:val="none"/>
        </w:rPr>
      </w:pPr>
      <w:r>
        <w:rPr>
          <w:rFonts w:hint="eastAsia" w:ascii="仿宋" w:hAnsi="仿宋" w:eastAsia="仿宋" w:cs="仿宋"/>
          <w:b/>
          <w:color w:val="000000" w:themeColor="text1"/>
          <w:sz w:val="24"/>
          <w:szCs w:val="24"/>
          <w:highlight w:val="none"/>
          <w14:textFill>
            <w14:solidFill>
              <w14:schemeClr w14:val="tx1"/>
            </w14:solidFill>
          </w14:textFill>
        </w:rPr>
        <w:t>202</w:t>
      </w:r>
      <w:r>
        <w:rPr>
          <w:rFonts w:hint="eastAsia" w:ascii="仿宋" w:hAnsi="仿宋" w:eastAsia="仿宋" w:cs="仿宋"/>
          <w:b/>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color w:val="000000" w:themeColor="text1"/>
          <w:sz w:val="24"/>
          <w:szCs w:val="24"/>
          <w:highlight w:val="none"/>
          <w14:textFill>
            <w14:solidFill>
              <w14:schemeClr w14:val="tx1"/>
            </w14:solidFill>
          </w14:textFill>
        </w:rPr>
        <w:t>年</w:t>
      </w:r>
      <w:r>
        <w:rPr>
          <w:rFonts w:hint="eastAsia" w:ascii="仿宋" w:hAnsi="仿宋" w:eastAsia="仿宋" w:cs="仿宋"/>
          <w:b/>
          <w:color w:val="000000" w:themeColor="text1"/>
          <w:sz w:val="24"/>
          <w:szCs w:val="24"/>
          <w:highlight w:val="none"/>
          <w:lang w:val="en-US" w:eastAsia="zh-CN"/>
          <w14:textFill>
            <w14:solidFill>
              <w14:schemeClr w14:val="tx1"/>
            </w14:solidFill>
          </w14:textFill>
        </w:rPr>
        <w:t>9</w:t>
      </w:r>
      <w:r>
        <w:rPr>
          <w:rFonts w:hint="eastAsia" w:ascii="仿宋" w:hAnsi="仿宋" w:eastAsia="仿宋" w:cs="仿宋"/>
          <w:b/>
          <w:color w:val="000000" w:themeColor="text1"/>
          <w:sz w:val="24"/>
          <w:szCs w:val="24"/>
          <w:highlight w:val="none"/>
          <w14:textFill>
            <w14:solidFill>
              <w14:schemeClr w14:val="tx1"/>
            </w14:solidFill>
          </w14:textFill>
        </w:rPr>
        <w:t>月</w:t>
      </w:r>
      <w:r>
        <w:rPr>
          <w:rFonts w:hint="eastAsia" w:ascii="仿宋" w:hAnsi="仿宋" w:eastAsia="仿宋" w:cs="仿宋"/>
          <w:b/>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b/>
          <w:color w:val="000000" w:themeColor="text1"/>
          <w:sz w:val="24"/>
          <w:szCs w:val="24"/>
          <w:highlight w:val="none"/>
          <w14:textFill>
            <w14:solidFill>
              <w14:schemeClr w14:val="tx1"/>
            </w14:solidFill>
          </w14:textFill>
        </w:rPr>
        <w:t>日</w:t>
      </w:r>
      <w:bookmarkEnd w:id="0"/>
      <w:bookmarkEnd w:id="5"/>
    </w:p>
    <w:p w14:paraId="7247B8B5">
      <w:pPr>
        <w:widowControl/>
        <w:jc w:val="left"/>
        <w:rPr>
          <w:rFonts w:ascii="仿宋" w:hAnsi="仿宋" w:eastAsia="仿宋"/>
          <w:color w:val="auto"/>
          <w:sz w:val="28"/>
          <w:szCs w:val="28"/>
          <w:highlight w:val="none"/>
        </w:rPr>
      </w:pPr>
      <w:r>
        <w:rPr>
          <w:rFonts w:ascii="仿宋" w:hAnsi="仿宋" w:eastAsia="仿宋"/>
          <w:color w:val="auto"/>
          <w:sz w:val="28"/>
          <w:szCs w:val="28"/>
          <w:highlight w:val="none"/>
        </w:rPr>
        <w:br w:type="page"/>
      </w:r>
    </w:p>
    <w:p w14:paraId="158396E5">
      <w:pPr>
        <w:pStyle w:val="2"/>
        <w:spacing w:before="159" w:beforeLines="50" w:after="159" w:afterLines="50"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第二部分 询价须知</w:t>
      </w:r>
    </w:p>
    <w:p w14:paraId="5A3678EB">
      <w:pPr>
        <w:pStyle w:val="3"/>
        <w:spacing w:before="0" w:after="0" w:line="360" w:lineRule="auto"/>
        <w:rPr>
          <w:rFonts w:ascii="仿宋" w:hAnsi="仿宋" w:eastAsia="仿宋"/>
          <w:color w:val="auto"/>
          <w:sz w:val="24"/>
          <w:szCs w:val="24"/>
          <w:highlight w:val="none"/>
        </w:rPr>
      </w:pPr>
      <w:bookmarkStart w:id="7" w:name="_Toc513029203"/>
      <w:bookmarkStart w:id="8" w:name="_Toc20823275"/>
      <w:bookmarkStart w:id="9" w:name="_Toc120614214"/>
      <w:bookmarkStart w:id="10" w:name="_Toc16938519"/>
      <w:r>
        <w:rPr>
          <w:rFonts w:ascii="仿宋" w:hAnsi="仿宋" w:eastAsia="仿宋"/>
          <w:color w:val="auto"/>
          <w:sz w:val="24"/>
          <w:szCs w:val="24"/>
          <w:highlight w:val="none"/>
        </w:rPr>
        <w:t>（一）总则</w:t>
      </w:r>
      <w:bookmarkEnd w:id="7"/>
      <w:bookmarkEnd w:id="8"/>
      <w:bookmarkEnd w:id="9"/>
      <w:bookmarkEnd w:id="10"/>
    </w:p>
    <w:p w14:paraId="6479DA6E">
      <w:pPr>
        <w:pStyle w:val="4"/>
        <w:spacing w:before="0" w:after="0" w:line="360" w:lineRule="auto"/>
        <w:rPr>
          <w:rFonts w:ascii="仿宋" w:hAnsi="仿宋" w:eastAsia="仿宋"/>
          <w:color w:val="auto"/>
          <w:sz w:val="24"/>
          <w:szCs w:val="24"/>
          <w:highlight w:val="none"/>
        </w:rPr>
      </w:pPr>
      <w:bookmarkStart w:id="11" w:name="_Hlt16619475"/>
      <w:bookmarkEnd w:id="11"/>
      <w:bookmarkStart w:id="12" w:name="_Toc458694821"/>
      <w:bookmarkStart w:id="13" w:name="_Toc20823276"/>
      <w:bookmarkStart w:id="14" w:name="_Toc16938520"/>
      <w:bookmarkStart w:id="15" w:name="_Toc513029204"/>
      <w:r>
        <w:rPr>
          <w:rFonts w:ascii="仿宋" w:hAnsi="仿宋" w:eastAsia="仿宋"/>
          <w:color w:val="auto"/>
          <w:sz w:val="24"/>
          <w:szCs w:val="24"/>
          <w:highlight w:val="none"/>
        </w:rPr>
        <w:t>1</w:t>
      </w:r>
      <w:bookmarkEnd w:id="12"/>
      <w:r>
        <w:rPr>
          <w:rFonts w:ascii="仿宋" w:hAnsi="仿宋" w:eastAsia="仿宋"/>
          <w:color w:val="auto"/>
          <w:sz w:val="24"/>
          <w:szCs w:val="24"/>
          <w:highlight w:val="none"/>
        </w:rPr>
        <w:t>.采购方式</w:t>
      </w:r>
      <w:bookmarkEnd w:id="13"/>
      <w:bookmarkEnd w:id="14"/>
      <w:bookmarkEnd w:id="15"/>
    </w:p>
    <w:p w14:paraId="6A7DB7F8">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本次采取</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方式，本采购文件仅适用于</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公告中所述项目。</w:t>
      </w:r>
    </w:p>
    <w:p w14:paraId="6C8B96D0">
      <w:pPr>
        <w:pStyle w:val="4"/>
        <w:spacing w:before="0" w:after="0" w:line="360" w:lineRule="auto"/>
        <w:rPr>
          <w:rFonts w:ascii="仿宋" w:hAnsi="仿宋" w:eastAsia="仿宋"/>
          <w:color w:val="auto"/>
          <w:sz w:val="24"/>
          <w:szCs w:val="24"/>
          <w:highlight w:val="none"/>
        </w:rPr>
      </w:pPr>
      <w:bookmarkStart w:id="16" w:name="_Toc20823277"/>
      <w:bookmarkStart w:id="17" w:name="_Toc513029205"/>
      <w:bookmarkStart w:id="18" w:name="_Toc16938521"/>
      <w:r>
        <w:rPr>
          <w:rFonts w:ascii="仿宋" w:hAnsi="仿宋" w:eastAsia="仿宋"/>
          <w:color w:val="auto"/>
          <w:sz w:val="24"/>
          <w:szCs w:val="24"/>
          <w:highlight w:val="none"/>
        </w:rPr>
        <w:t>2.合格的</w:t>
      </w:r>
      <w:bookmarkEnd w:id="16"/>
      <w:bookmarkEnd w:id="17"/>
      <w:bookmarkEnd w:id="18"/>
      <w:r>
        <w:rPr>
          <w:rFonts w:ascii="仿宋" w:hAnsi="仿宋" w:eastAsia="仿宋"/>
          <w:color w:val="auto"/>
          <w:sz w:val="24"/>
          <w:szCs w:val="24"/>
          <w:highlight w:val="none"/>
        </w:rPr>
        <w:t>供应商</w:t>
      </w:r>
    </w:p>
    <w:p w14:paraId="57A3D239">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2.1 满足询价公告中供应商的资格要求的规定。</w:t>
      </w:r>
    </w:p>
    <w:p w14:paraId="06D2F04D">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 满足本文件实质性条款的规定。</w:t>
      </w:r>
    </w:p>
    <w:p w14:paraId="32E01643">
      <w:pPr>
        <w:pStyle w:val="4"/>
        <w:spacing w:before="0" w:after="0" w:line="360" w:lineRule="auto"/>
        <w:rPr>
          <w:rFonts w:ascii="仿宋" w:hAnsi="仿宋" w:eastAsia="仿宋"/>
          <w:color w:val="auto"/>
          <w:sz w:val="24"/>
          <w:szCs w:val="24"/>
          <w:highlight w:val="none"/>
        </w:rPr>
      </w:pPr>
      <w:bookmarkStart w:id="19" w:name="_Toc16938522"/>
      <w:bookmarkStart w:id="20" w:name="_Toc20823278"/>
      <w:bookmarkStart w:id="21" w:name="_Toc513029206"/>
      <w:r>
        <w:rPr>
          <w:rFonts w:ascii="仿宋" w:hAnsi="仿宋" w:eastAsia="仿宋"/>
          <w:color w:val="auto"/>
          <w:sz w:val="24"/>
          <w:szCs w:val="24"/>
          <w:highlight w:val="none"/>
        </w:rPr>
        <w:t>3.适用法律</w:t>
      </w:r>
      <w:bookmarkEnd w:id="19"/>
      <w:bookmarkEnd w:id="20"/>
      <w:bookmarkEnd w:id="21"/>
    </w:p>
    <w:p w14:paraId="11237180">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本次采购及由此产生的合同受中华人民共和国有关的法律法规制约和保护。</w:t>
      </w:r>
    </w:p>
    <w:p w14:paraId="100CB2C0">
      <w:pPr>
        <w:pStyle w:val="4"/>
        <w:spacing w:before="0" w:after="0" w:line="360" w:lineRule="auto"/>
        <w:rPr>
          <w:rFonts w:ascii="仿宋" w:hAnsi="仿宋" w:eastAsia="仿宋"/>
          <w:color w:val="auto"/>
          <w:sz w:val="24"/>
          <w:szCs w:val="24"/>
          <w:highlight w:val="none"/>
        </w:rPr>
      </w:pPr>
      <w:bookmarkStart w:id="22" w:name="_Toc20823279"/>
      <w:bookmarkStart w:id="23" w:name="_Toc513029207"/>
      <w:bookmarkStart w:id="24" w:name="_Toc16938523"/>
      <w:bookmarkStart w:id="25" w:name="_Toc462564067"/>
      <w:r>
        <w:rPr>
          <w:rFonts w:ascii="仿宋" w:hAnsi="仿宋" w:eastAsia="仿宋"/>
          <w:color w:val="auto"/>
          <w:sz w:val="24"/>
          <w:szCs w:val="24"/>
          <w:highlight w:val="none"/>
        </w:rPr>
        <w:t>4.</w:t>
      </w:r>
      <w:r>
        <w:rPr>
          <w:rFonts w:hint="eastAsia" w:ascii="仿宋" w:hAnsi="仿宋" w:eastAsia="仿宋"/>
          <w:color w:val="auto"/>
          <w:sz w:val="24"/>
          <w:szCs w:val="24"/>
          <w:highlight w:val="none"/>
        </w:rPr>
        <w:t>询价</w:t>
      </w:r>
      <w:r>
        <w:rPr>
          <w:rFonts w:ascii="仿宋" w:hAnsi="仿宋" w:eastAsia="仿宋"/>
          <w:color w:val="auto"/>
          <w:sz w:val="24"/>
          <w:szCs w:val="24"/>
          <w:highlight w:val="none"/>
        </w:rPr>
        <w:t>费用</w:t>
      </w:r>
      <w:bookmarkEnd w:id="22"/>
      <w:bookmarkEnd w:id="23"/>
      <w:bookmarkEnd w:id="24"/>
      <w:bookmarkEnd w:id="25"/>
    </w:p>
    <w:p w14:paraId="2BB39B04">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4.1 供应商应自行承担所有与参加</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有关的费用，无论过程中的做法和结果如何，</w:t>
      </w:r>
      <w:r>
        <w:rPr>
          <w:rFonts w:hint="eastAsia" w:ascii="仿宋" w:hAnsi="仿宋" w:eastAsia="仿宋" w:cs="仿宋"/>
          <w:color w:val="auto"/>
          <w:sz w:val="24"/>
          <w:szCs w:val="24"/>
          <w:highlight w:val="none"/>
        </w:rPr>
        <w:t>采购人</w:t>
      </w:r>
      <w:r>
        <w:rPr>
          <w:rFonts w:ascii="仿宋" w:hAnsi="仿宋" w:eastAsia="仿宋" w:cs="仿宋"/>
          <w:color w:val="auto"/>
          <w:sz w:val="24"/>
          <w:szCs w:val="24"/>
          <w:highlight w:val="none"/>
        </w:rPr>
        <w:t>在任何情况下均无义务和责任承担这些费用。</w:t>
      </w:r>
    </w:p>
    <w:p w14:paraId="7273AEBC">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4.2 </w:t>
      </w:r>
      <w:r>
        <w:rPr>
          <w:rFonts w:hint="eastAsia" w:ascii="仿宋" w:hAnsi="仿宋" w:eastAsia="仿宋" w:cs="仿宋"/>
          <w:color w:val="auto"/>
          <w:sz w:val="24"/>
          <w:szCs w:val="24"/>
          <w:highlight w:val="none"/>
        </w:rPr>
        <w:t>采购人不收取任何费用。</w:t>
      </w:r>
    </w:p>
    <w:p w14:paraId="16269BD0">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5.采购文件的约束力</w:t>
      </w:r>
    </w:p>
    <w:p w14:paraId="0A2E2E1D">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供应商一旦参加本项目采购活动，即被认为接受了本采购文件的规定和约束。</w:t>
      </w:r>
    </w:p>
    <w:p w14:paraId="790D8897">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6.采购文件的解释</w:t>
      </w:r>
    </w:p>
    <w:p w14:paraId="357B492E">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采购文件需求部分（项目需求）由采购人解释。</w:t>
      </w:r>
    </w:p>
    <w:p w14:paraId="2CC441F2">
      <w:pPr>
        <w:pStyle w:val="3"/>
        <w:spacing w:before="0" w:after="0" w:line="360" w:lineRule="auto"/>
        <w:rPr>
          <w:rFonts w:ascii="仿宋" w:hAnsi="仿宋" w:eastAsia="仿宋"/>
          <w:color w:val="auto"/>
          <w:sz w:val="24"/>
          <w:szCs w:val="24"/>
          <w:highlight w:val="none"/>
        </w:rPr>
      </w:pPr>
      <w:bookmarkStart w:id="26" w:name="_Toc16938525"/>
      <w:bookmarkStart w:id="27" w:name="_Toc120614215"/>
      <w:bookmarkStart w:id="28" w:name="_Toc20823281"/>
      <w:bookmarkStart w:id="29" w:name="_Toc513029209"/>
      <w:r>
        <w:rPr>
          <w:rFonts w:ascii="仿宋" w:hAnsi="仿宋" w:eastAsia="仿宋"/>
          <w:color w:val="auto"/>
          <w:sz w:val="24"/>
          <w:szCs w:val="24"/>
          <w:highlight w:val="none"/>
        </w:rPr>
        <w:t>（二）采购文件</w:t>
      </w:r>
      <w:bookmarkEnd w:id="26"/>
      <w:bookmarkEnd w:id="27"/>
      <w:bookmarkEnd w:id="28"/>
      <w:bookmarkEnd w:id="29"/>
    </w:p>
    <w:p w14:paraId="73738A5F">
      <w:pPr>
        <w:pStyle w:val="4"/>
        <w:spacing w:before="0" w:after="0" w:line="360" w:lineRule="auto"/>
        <w:rPr>
          <w:rFonts w:ascii="仿宋" w:hAnsi="仿宋" w:eastAsia="仿宋"/>
          <w:color w:val="auto"/>
          <w:sz w:val="24"/>
          <w:szCs w:val="24"/>
          <w:highlight w:val="none"/>
        </w:rPr>
      </w:pPr>
      <w:bookmarkStart w:id="30" w:name="_Toc513029210"/>
      <w:bookmarkStart w:id="31" w:name="_Toc20823282"/>
      <w:bookmarkStart w:id="32" w:name="_Toc16938526"/>
      <w:r>
        <w:rPr>
          <w:rFonts w:ascii="仿宋" w:hAnsi="仿宋" w:eastAsia="仿宋"/>
          <w:color w:val="auto"/>
          <w:sz w:val="24"/>
          <w:szCs w:val="24"/>
          <w:highlight w:val="none"/>
        </w:rPr>
        <w:t>1.采购文件构成</w:t>
      </w:r>
      <w:bookmarkEnd w:id="30"/>
      <w:bookmarkEnd w:id="31"/>
      <w:bookmarkEnd w:id="32"/>
    </w:p>
    <w:p w14:paraId="02D32F74">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1.1 采购文件由以下部分组成：</w:t>
      </w:r>
    </w:p>
    <w:p w14:paraId="0B135E06">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询价公告</w:t>
      </w:r>
    </w:p>
    <w:p w14:paraId="50A1412D">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询价须知</w:t>
      </w:r>
    </w:p>
    <w:p w14:paraId="0E89A3C7">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（3）项目需求</w:t>
      </w:r>
    </w:p>
    <w:p w14:paraId="1B033B9A">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（4）评审方法和评审标准</w:t>
      </w:r>
    </w:p>
    <w:p w14:paraId="1B107AB2">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（5）合同条款及格式</w:t>
      </w:r>
    </w:p>
    <w:p w14:paraId="6C191FA8">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（6）响应文件组成</w:t>
      </w:r>
    </w:p>
    <w:p w14:paraId="111EABE1">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（7）附件</w:t>
      </w:r>
    </w:p>
    <w:p w14:paraId="1BE800BC">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请仔细检查采购文件是否齐全，如有缺漏请立即与</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联系解决。</w:t>
      </w:r>
    </w:p>
    <w:p w14:paraId="3FA12304">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1.2 供应商应认真阅读采购文件中所有的事项、格式、条款和规范等要求。按采购文件要求和规定编制响应文件，并保证所提供的全部资料的真实性，以使其响应文件对采购文件作出实质性响应，否则其风险由供应商自行承担。</w:t>
      </w:r>
    </w:p>
    <w:p w14:paraId="2062DF65">
      <w:pPr>
        <w:pStyle w:val="4"/>
        <w:spacing w:before="0" w:after="0" w:line="360" w:lineRule="auto"/>
        <w:rPr>
          <w:rFonts w:ascii="仿宋" w:hAnsi="仿宋" w:eastAsia="仿宋"/>
          <w:color w:val="auto"/>
          <w:sz w:val="24"/>
          <w:szCs w:val="24"/>
          <w:highlight w:val="none"/>
        </w:rPr>
      </w:pPr>
      <w:bookmarkStart w:id="33" w:name="_Toc20823283"/>
      <w:bookmarkStart w:id="34" w:name="_Toc462564070"/>
      <w:bookmarkStart w:id="35" w:name="_Toc513029211"/>
      <w:bookmarkStart w:id="36" w:name="_Toc16938527"/>
      <w:r>
        <w:rPr>
          <w:rFonts w:ascii="仿宋" w:hAnsi="仿宋" w:eastAsia="仿宋"/>
          <w:color w:val="auto"/>
          <w:sz w:val="24"/>
          <w:szCs w:val="24"/>
          <w:highlight w:val="none"/>
        </w:rPr>
        <w:t>2.采购文件的澄清</w:t>
      </w:r>
      <w:bookmarkEnd w:id="33"/>
      <w:bookmarkEnd w:id="34"/>
      <w:bookmarkEnd w:id="35"/>
      <w:bookmarkEnd w:id="36"/>
    </w:p>
    <w:p w14:paraId="0D1E81E2">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2.1 任何要求对采购文件进行澄清的供应商，应在提交首次响应文件截止时间五日前按询价公告中的通讯地址，以书面形式通知采购人。采购人有权对发出的采购文件进行必要的澄清或修改。</w:t>
      </w:r>
    </w:p>
    <w:p w14:paraId="034236F8">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 采购人视情组织答疑会</w:t>
      </w:r>
      <w:r>
        <w:rPr>
          <w:rFonts w:hint="eastAsia" w:ascii="仿宋" w:hAnsi="仿宋" w:eastAsia="仿宋" w:cs="仿宋"/>
          <w:color w:val="auto"/>
          <w:sz w:val="24"/>
          <w:szCs w:val="24"/>
          <w:highlight w:val="none"/>
        </w:rPr>
        <w:t>。</w:t>
      </w:r>
    </w:p>
    <w:p w14:paraId="1AEBF0E1">
      <w:pPr>
        <w:pStyle w:val="4"/>
        <w:spacing w:before="0" w:after="0" w:line="360" w:lineRule="auto"/>
        <w:rPr>
          <w:rFonts w:ascii="仿宋" w:hAnsi="仿宋" w:eastAsia="仿宋"/>
          <w:color w:val="auto"/>
          <w:sz w:val="24"/>
          <w:szCs w:val="24"/>
          <w:highlight w:val="none"/>
        </w:rPr>
      </w:pPr>
      <w:bookmarkStart w:id="37" w:name="_Toc20823284"/>
      <w:bookmarkStart w:id="38" w:name="_Toc513029212"/>
      <w:bookmarkStart w:id="39" w:name="_Toc16938528"/>
      <w:bookmarkStart w:id="40" w:name="_Toc462564071"/>
      <w:r>
        <w:rPr>
          <w:rFonts w:ascii="仿宋" w:hAnsi="仿宋" w:eastAsia="仿宋"/>
          <w:color w:val="auto"/>
          <w:sz w:val="24"/>
          <w:szCs w:val="24"/>
          <w:highlight w:val="none"/>
        </w:rPr>
        <w:t>3.采购文件的修改</w:t>
      </w:r>
      <w:bookmarkEnd w:id="37"/>
      <w:bookmarkEnd w:id="38"/>
      <w:bookmarkEnd w:id="39"/>
      <w:bookmarkEnd w:id="40"/>
    </w:p>
    <w:p w14:paraId="766D7D90">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3.1 在响应文件提交截止时间前，</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可以对采购文件进行修改。</w:t>
      </w:r>
    </w:p>
    <w:p w14:paraId="66CB3933">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3.2 </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有权按照法定的要求推迟响应文件提交截止日期和</w:t>
      </w:r>
      <w:r>
        <w:rPr>
          <w:rFonts w:hint="eastAsia" w:ascii="仿宋" w:hAnsi="仿宋" w:eastAsia="仿宋" w:cs="仿宋"/>
          <w:color w:val="auto"/>
          <w:sz w:val="24"/>
          <w:szCs w:val="24"/>
          <w:highlight w:val="none"/>
        </w:rPr>
        <w:t>开标</w:t>
      </w:r>
      <w:r>
        <w:rPr>
          <w:rFonts w:ascii="仿宋" w:hAnsi="仿宋" w:eastAsia="仿宋" w:cs="仿宋"/>
          <w:color w:val="auto"/>
          <w:sz w:val="24"/>
          <w:szCs w:val="24"/>
          <w:highlight w:val="none"/>
        </w:rPr>
        <w:t>日期。</w:t>
      </w:r>
    </w:p>
    <w:p w14:paraId="2ABE10CE">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3.3 采购文件的修改将在</w:t>
      </w:r>
      <w:r>
        <w:rPr>
          <w:rFonts w:hint="eastAsia" w:ascii="仿宋" w:hAnsi="仿宋" w:eastAsia="仿宋" w:cs="仿宋"/>
          <w:color w:val="auto"/>
          <w:sz w:val="24"/>
          <w:szCs w:val="24"/>
          <w:highlight w:val="none"/>
        </w:rPr>
        <w:t>指定媒体上</w:t>
      </w:r>
      <w:r>
        <w:rPr>
          <w:rFonts w:ascii="仿宋" w:hAnsi="仿宋" w:eastAsia="仿宋" w:cs="仿宋"/>
          <w:color w:val="auto"/>
          <w:sz w:val="24"/>
          <w:szCs w:val="24"/>
          <w:highlight w:val="none"/>
        </w:rPr>
        <w:t>公布，补充文件将作为采购文件的组成部分，并对供应商具有约束力。</w:t>
      </w:r>
    </w:p>
    <w:p w14:paraId="4CF4D84D">
      <w:pPr>
        <w:pStyle w:val="3"/>
        <w:spacing w:before="0" w:after="0" w:line="360" w:lineRule="auto"/>
        <w:rPr>
          <w:rFonts w:ascii="仿宋" w:hAnsi="仿宋" w:eastAsia="仿宋"/>
          <w:color w:val="auto"/>
          <w:sz w:val="24"/>
          <w:szCs w:val="24"/>
          <w:highlight w:val="none"/>
        </w:rPr>
      </w:pPr>
      <w:bookmarkStart w:id="41" w:name="_Toc120614216"/>
      <w:bookmarkStart w:id="42" w:name="_Toc16938529"/>
      <w:bookmarkStart w:id="43" w:name="_Toc513029213"/>
      <w:bookmarkStart w:id="44" w:name="_Toc20823285"/>
      <w:bookmarkStart w:id="45" w:name="_Toc462564072"/>
      <w:r>
        <w:rPr>
          <w:rFonts w:ascii="仿宋" w:hAnsi="仿宋" w:eastAsia="仿宋"/>
          <w:color w:val="auto"/>
          <w:sz w:val="24"/>
          <w:szCs w:val="24"/>
          <w:highlight w:val="none"/>
        </w:rPr>
        <w:t>（三）响应文件的编制</w:t>
      </w:r>
      <w:bookmarkEnd w:id="41"/>
      <w:bookmarkEnd w:id="42"/>
      <w:bookmarkEnd w:id="43"/>
      <w:bookmarkEnd w:id="44"/>
      <w:bookmarkEnd w:id="45"/>
    </w:p>
    <w:p w14:paraId="145BCB73">
      <w:pPr>
        <w:pStyle w:val="4"/>
        <w:spacing w:before="0" w:after="0" w:line="360" w:lineRule="auto"/>
        <w:rPr>
          <w:rFonts w:ascii="仿宋" w:hAnsi="仿宋" w:eastAsia="仿宋"/>
          <w:color w:val="auto"/>
          <w:sz w:val="24"/>
          <w:szCs w:val="24"/>
          <w:highlight w:val="none"/>
        </w:rPr>
      </w:pPr>
      <w:bookmarkStart w:id="46" w:name="_Toc513029214"/>
      <w:bookmarkStart w:id="47" w:name="_Toc16938530"/>
      <w:bookmarkStart w:id="48" w:name="_Toc462564073"/>
      <w:bookmarkStart w:id="49" w:name="_Toc20823286"/>
      <w:r>
        <w:rPr>
          <w:rFonts w:ascii="仿宋" w:hAnsi="仿宋" w:eastAsia="仿宋"/>
          <w:color w:val="auto"/>
          <w:sz w:val="24"/>
          <w:szCs w:val="24"/>
          <w:highlight w:val="none"/>
        </w:rPr>
        <w:t>1.响应文件的语言及度量衡单位</w:t>
      </w:r>
      <w:bookmarkEnd w:id="46"/>
      <w:bookmarkEnd w:id="47"/>
      <w:bookmarkEnd w:id="48"/>
      <w:bookmarkEnd w:id="49"/>
    </w:p>
    <w:p w14:paraId="65102A54">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1.1 供应商提交的响应文件以及供应商与</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就有关</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的所有来往通知、函件和文件均应使用简体中文。</w:t>
      </w:r>
    </w:p>
    <w:p w14:paraId="103BF480">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1.2 除技术性能另有规定外，响应文件所使用的度量衡单位，均须采用国家法定计量单位。</w:t>
      </w:r>
    </w:p>
    <w:p w14:paraId="279DFB58">
      <w:pPr>
        <w:pStyle w:val="4"/>
        <w:spacing w:before="0" w:after="0" w:line="360" w:lineRule="auto"/>
        <w:rPr>
          <w:rFonts w:ascii="仿宋" w:hAnsi="仿宋" w:eastAsia="仿宋"/>
          <w:color w:val="auto"/>
          <w:sz w:val="24"/>
          <w:szCs w:val="24"/>
          <w:highlight w:val="none"/>
        </w:rPr>
      </w:pPr>
      <w:bookmarkStart w:id="50" w:name="_Toc513029215"/>
      <w:bookmarkStart w:id="51" w:name="_Toc20823287"/>
      <w:bookmarkStart w:id="52" w:name="_Toc462564074"/>
      <w:bookmarkStart w:id="53" w:name="_Toc16938531"/>
      <w:r>
        <w:rPr>
          <w:rFonts w:ascii="仿宋" w:hAnsi="仿宋" w:eastAsia="仿宋"/>
          <w:color w:val="auto"/>
          <w:sz w:val="24"/>
          <w:szCs w:val="24"/>
          <w:highlight w:val="none"/>
        </w:rPr>
        <w:t>2.响应文件构成</w:t>
      </w:r>
      <w:bookmarkEnd w:id="50"/>
      <w:bookmarkEnd w:id="51"/>
      <w:bookmarkEnd w:id="52"/>
      <w:bookmarkEnd w:id="53"/>
    </w:p>
    <w:p w14:paraId="3A869CA3">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供应商编写的响应文件应包括资格审查证明材料文件、商务技术标文件、价格标文件。供应商按“第</w:t>
      </w:r>
      <w:r>
        <w:rPr>
          <w:rFonts w:hint="eastAsia" w:ascii="仿宋" w:hAnsi="仿宋" w:eastAsia="仿宋" w:cs="仿宋"/>
          <w:color w:val="auto"/>
          <w:sz w:val="24"/>
          <w:szCs w:val="24"/>
          <w:highlight w:val="none"/>
        </w:rPr>
        <w:t>六</w:t>
      </w:r>
      <w:r>
        <w:rPr>
          <w:rFonts w:ascii="仿宋" w:hAnsi="仿宋" w:eastAsia="仿宋" w:cs="仿宋"/>
          <w:color w:val="auto"/>
          <w:sz w:val="24"/>
          <w:szCs w:val="24"/>
          <w:highlight w:val="none"/>
        </w:rPr>
        <w:t>部分 响应文件组成”要求编写响应文件。</w:t>
      </w:r>
    </w:p>
    <w:p w14:paraId="49D8B903">
      <w:pPr>
        <w:pStyle w:val="4"/>
        <w:spacing w:before="0" w:after="0" w:line="360" w:lineRule="auto"/>
        <w:rPr>
          <w:rFonts w:ascii="仿宋" w:hAnsi="仿宋" w:eastAsia="仿宋"/>
          <w:color w:val="auto"/>
          <w:sz w:val="24"/>
          <w:szCs w:val="24"/>
          <w:highlight w:val="none"/>
        </w:rPr>
      </w:pPr>
      <w:bookmarkStart w:id="54" w:name="_Hlt26668975"/>
      <w:bookmarkEnd w:id="54"/>
      <w:bookmarkStart w:id="55" w:name="_Hlt26954838"/>
      <w:bookmarkEnd w:id="55"/>
      <w:bookmarkStart w:id="56" w:name="_Hlt26670360"/>
      <w:bookmarkEnd w:id="56"/>
      <w:bookmarkStart w:id="57" w:name="_Toc14577360"/>
      <w:bookmarkStart w:id="58" w:name="_Toc49090511"/>
      <w:r>
        <w:rPr>
          <w:rFonts w:ascii="仿宋" w:hAnsi="仿宋" w:eastAsia="仿宋"/>
          <w:color w:val="auto"/>
          <w:sz w:val="24"/>
          <w:szCs w:val="24"/>
          <w:highlight w:val="none"/>
        </w:rPr>
        <w:t>3.</w:t>
      </w:r>
      <w:bookmarkEnd w:id="57"/>
      <w:bookmarkEnd w:id="58"/>
      <w:r>
        <w:rPr>
          <w:rFonts w:hint="eastAsia" w:ascii="仿宋" w:hAnsi="仿宋" w:eastAsia="仿宋"/>
          <w:color w:val="auto"/>
          <w:sz w:val="24"/>
          <w:szCs w:val="24"/>
          <w:highlight w:val="none"/>
        </w:rPr>
        <w:t>询价</w:t>
      </w:r>
      <w:r>
        <w:rPr>
          <w:rFonts w:ascii="仿宋" w:hAnsi="仿宋" w:eastAsia="仿宋"/>
          <w:color w:val="auto"/>
          <w:sz w:val="24"/>
          <w:szCs w:val="24"/>
          <w:highlight w:val="none"/>
        </w:rPr>
        <w:t>响应有效期</w:t>
      </w:r>
    </w:p>
    <w:p w14:paraId="3D87F509">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响应有效期为</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规定的响应文件提交截止时间后六十（60）天。</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响应有效期比规定短的将被视为非实质性响应而予以拒绝。</w:t>
      </w:r>
    </w:p>
    <w:p w14:paraId="6A35844C">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4.</w:t>
      </w:r>
      <w:r>
        <w:rPr>
          <w:rFonts w:hint="eastAsia" w:ascii="仿宋" w:hAnsi="仿宋" w:eastAsia="仿宋"/>
          <w:color w:val="auto"/>
          <w:sz w:val="24"/>
          <w:szCs w:val="24"/>
          <w:highlight w:val="none"/>
        </w:rPr>
        <w:t>询价</w:t>
      </w:r>
      <w:r>
        <w:rPr>
          <w:rFonts w:ascii="仿宋" w:hAnsi="仿宋" w:eastAsia="仿宋"/>
          <w:color w:val="auto"/>
          <w:sz w:val="24"/>
          <w:szCs w:val="24"/>
          <w:highlight w:val="none"/>
        </w:rPr>
        <w:t>响应有效期的延长</w:t>
      </w:r>
    </w:p>
    <w:p w14:paraId="5D7C7591">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在特殊情况下，</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于原</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响应有效期满之前，可向供应商提出延长</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响应有效期的要求。这种要求与答复均应采用书面形式。供应商可以拒绝</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的这一要求而放弃响应，同意延长</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响应有效期的供应商既不能要求也不允许修改其响应文件。受</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响应有效期约束的所有权利与义务均延长至新的有效期。</w:t>
      </w:r>
    </w:p>
    <w:p w14:paraId="1885D307">
      <w:pPr>
        <w:pStyle w:val="3"/>
        <w:spacing w:before="0" w:after="0" w:line="360" w:lineRule="auto"/>
        <w:rPr>
          <w:rFonts w:ascii="仿宋" w:hAnsi="仿宋" w:eastAsia="仿宋"/>
          <w:color w:val="auto"/>
          <w:sz w:val="24"/>
          <w:szCs w:val="24"/>
          <w:highlight w:val="none"/>
        </w:rPr>
      </w:pPr>
      <w:bookmarkStart w:id="59" w:name="_Hlt26954852"/>
      <w:bookmarkEnd w:id="59"/>
      <w:bookmarkStart w:id="60" w:name="_Hlt26954739"/>
      <w:bookmarkEnd w:id="60"/>
      <w:bookmarkStart w:id="61" w:name="_Toc20823296"/>
      <w:bookmarkStart w:id="62" w:name="_Toc120614217"/>
      <w:bookmarkStart w:id="63" w:name="_Toc513029224"/>
      <w:bookmarkStart w:id="64" w:name="_Toc16938540"/>
      <w:r>
        <w:rPr>
          <w:rFonts w:ascii="仿宋" w:hAnsi="仿宋" w:eastAsia="仿宋"/>
          <w:color w:val="auto"/>
          <w:sz w:val="24"/>
          <w:szCs w:val="24"/>
          <w:highlight w:val="none"/>
        </w:rPr>
        <w:t>（四）响应文件的提交</w:t>
      </w:r>
      <w:bookmarkEnd w:id="61"/>
      <w:bookmarkEnd w:id="62"/>
      <w:bookmarkEnd w:id="63"/>
      <w:bookmarkEnd w:id="64"/>
    </w:p>
    <w:p w14:paraId="392A90E2">
      <w:pPr>
        <w:pStyle w:val="4"/>
        <w:spacing w:before="0" w:after="0" w:line="360" w:lineRule="auto"/>
        <w:rPr>
          <w:rFonts w:ascii="仿宋" w:hAnsi="仿宋" w:eastAsia="仿宋"/>
          <w:color w:val="auto"/>
          <w:sz w:val="24"/>
          <w:szCs w:val="24"/>
          <w:highlight w:val="none"/>
        </w:rPr>
      </w:pPr>
      <w:bookmarkStart w:id="65" w:name="_Toc20823297"/>
      <w:bookmarkStart w:id="66" w:name="_Toc16938541"/>
      <w:bookmarkStart w:id="67" w:name="_Toc513029225"/>
      <w:bookmarkStart w:id="68" w:name="_Toc462564084"/>
      <w:r>
        <w:rPr>
          <w:rFonts w:ascii="仿宋" w:hAnsi="仿宋" w:eastAsia="仿宋"/>
          <w:color w:val="auto"/>
          <w:sz w:val="24"/>
          <w:szCs w:val="24"/>
          <w:highlight w:val="none"/>
        </w:rPr>
        <w:t>1.</w:t>
      </w:r>
      <w:bookmarkEnd w:id="65"/>
      <w:bookmarkEnd w:id="66"/>
      <w:bookmarkEnd w:id="67"/>
      <w:bookmarkEnd w:id="68"/>
      <w:r>
        <w:rPr>
          <w:rFonts w:hint="eastAsia" w:ascii="仿宋" w:hAnsi="仿宋" w:eastAsia="仿宋"/>
          <w:color w:val="auto"/>
          <w:sz w:val="24"/>
          <w:szCs w:val="24"/>
          <w:highlight w:val="none"/>
        </w:rPr>
        <w:t>响应文件的密封及标记</w:t>
      </w:r>
    </w:p>
    <w:p w14:paraId="73C9DE0F">
      <w:pPr>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1.1 </w:t>
      </w:r>
      <w:r>
        <w:rPr>
          <w:rFonts w:hint="eastAsia" w:ascii="仿宋" w:hAnsi="仿宋" w:eastAsia="仿宋" w:cs="仿宋"/>
          <w:color w:val="auto"/>
          <w:sz w:val="24"/>
          <w:szCs w:val="24"/>
          <w:highlight w:val="none"/>
        </w:rPr>
        <w:t>资格审查文件、商务技术响应文件、报价响应文件可合并制作（一正二副，密封并牢固装订）。</w:t>
      </w:r>
    </w:p>
    <w:p w14:paraId="1E211A1D">
      <w:pPr>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1.2 </w:t>
      </w:r>
      <w:r>
        <w:rPr>
          <w:rFonts w:hint="eastAsia" w:ascii="仿宋" w:hAnsi="仿宋" w:eastAsia="仿宋" w:cs="仿宋"/>
          <w:color w:val="auto"/>
          <w:sz w:val="24"/>
          <w:szCs w:val="24"/>
          <w:highlight w:val="none"/>
        </w:rPr>
        <w:t>密封后应标明响应文件项目名称、项目编号、边缝处加盖单位骑缝章或骑缝签字，并注明于开标前不得启封。</w:t>
      </w:r>
    </w:p>
    <w:p w14:paraId="269AFE8B">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1.3 </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将拒绝接收未按照采购文件要求密封的响应文件</w:t>
      </w:r>
      <w:r>
        <w:rPr>
          <w:rFonts w:ascii="仿宋" w:hAnsi="仿宋" w:eastAsia="仿宋" w:cs="仿宋"/>
          <w:color w:val="auto"/>
          <w:sz w:val="24"/>
          <w:szCs w:val="24"/>
          <w:highlight w:val="none"/>
        </w:rPr>
        <w:t>。</w:t>
      </w:r>
      <w:bookmarkStart w:id="69" w:name="_Toc16938542"/>
      <w:bookmarkStart w:id="70" w:name="_Toc513029226"/>
      <w:bookmarkStart w:id="71" w:name="_Toc20823298"/>
    </w:p>
    <w:p w14:paraId="2AD14EE5">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2.响应文件截止日期</w:t>
      </w:r>
      <w:bookmarkEnd w:id="69"/>
      <w:bookmarkEnd w:id="70"/>
      <w:bookmarkEnd w:id="71"/>
    </w:p>
    <w:p w14:paraId="36006D2B">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2.1 供应商</w:t>
      </w:r>
      <w:r>
        <w:rPr>
          <w:rFonts w:hint="eastAsia" w:ascii="仿宋" w:hAnsi="仿宋" w:eastAsia="仿宋" w:cs="仿宋"/>
          <w:color w:val="auto"/>
          <w:sz w:val="24"/>
          <w:szCs w:val="24"/>
          <w:highlight w:val="none"/>
        </w:rPr>
        <w:t>提交</w:t>
      </w:r>
      <w:r>
        <w:rPr>
          <w:rFonts w:ascii="仿宋" w:hAnsi="仿宋" w:eastAsia="仿宋" w:cs="仿宋"/>
          <w:color w:val="auto"/>
          <w:sz w:val="24"/>
          <w:szCs w:val="24"/>
          <w:highlight w:val="none"/>
        </w:rPr>
        <w:t>响应文件的时间不得迟于询价公告中规定的响应文件提交截止时间。</w:t>
      </w:r>
    </w:p>
    <w:p w14:paraId="64143065">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可以按照规定，通过修改响应文件酌情延长响应文件提交截止日期，在此情况下，供应商的所有权利和义务以及供应商受制的截止日期均应以延长后新的截止日期为准。</w:t>
      </w:r>
    </w:p>
    <w:p w14:paraId="3736A533">
      <w:pPr>
        <w:pStyle w:val="4"/>
        <w:spacing w:before="0" w:after="0" w:line="360" w:lineRule="auto"/>
        <w:rPr>
          <w:rFonts w:ascii="仿宋" w:hAnsi="仿宋" w:eastAsia="仿宋"/>
          <w:color w:val="auto"/>
          <w:sz w:val="24"/>
          <w:szCs w:val="24"/>
          <w:highlight w:val="none"/>
        </w:rPr>
      </w:pPr>
      <w:bookmarkStart w:id="72" w:name="_Toc20823299"/>
      <w:bookmarkStart w:id="73" w:name="_Toc16938543"/>
      <w:bookmarkStart w:id="74" w:name="_Toc513029227"/>
      <w:r>
        <w:rPr>
          <w:rFonts w:ascii="仿宋" w:hAnsi="仿宋" w:eastAsia="仿宋"/>
          <w:color w:val="auto"/>
          <w:sz w:val="24"/>
          <w:szCs w:val="24"/>
          <w:highlight w:val="none"/>
        </w:rPr>
        <w:t>3.响应文件</w:t>
      </w:r>
      <w:bookmarkEnd w:id="72"/>
      <w:bookmarkEnd w:id="73"/>
      <w:bookmarkEnd w:id="74"/>
      <w:r>
        <w:rPr>
          <w:rFonts w:ascii="仿宋" w:hAnsi="仿宋" w:eastAsia="仿宋"/>
          <w:color w:val="auto"/>
          <w:sz w:val="24"/>
          <w:szCs w:val="24"/>
          <w:highlight w:val="none"/>
        </w:rPr>
        <w:t>的拒收</w:t>
      </w:r>
    </w:p>
    <w:p w14:paraId="0AF17549">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拒绝接收在其规定的响应文件提交截止时间后</w:t>
      </w:r>
      <w:r>
        <w:rPr>
          <w:rFonts w:hint="eastAsia" w:ascii="仿宋" w:hAnsi="仿宋" w:eastAsia="仿宋" w:cs="仿宋"/>
          <w:color w:val="auto"/>
          <w:sz w:val="24"/>
          <w:szCs w:val="24"/>
          <w:highlight w:val="none"/>
        </w:rPr>
        <w:t>提交</w:t>
      </w:r>
      <w:r>
        <w:rPr>
          <w:rFonts w:ascii="仿宋" w:hAnsi="仿宋" w:eastAsia="仿宋" w:cs="仿宋"/>
          <w:color w:val="auto"/>
          <w:sz w:val="24"/>
          <w:szCs w:val="24"/>
          <w:highlight w:val="none"/>
        </w:rPr>
        <w:t>的任何响应文件。</w:t>
      </w:r>
    </w:p>
    <w:p w14:paraId="29084703">
      <w:pPr>
        <w:pStyle w:val="4"/>
        <w:spacing w:before="0" w:after="0" w:line="360" w:lineRule="auto"/>
        <w:rPr>
          <w:rFonts w:ascii="仿宋" w:hAnsi="仿宋" w:eastAsia="仿宋"/>
          <w:color w:val="auto"/>
          <w:sz w:val="24"/>
          <w:szCs w:val="24"/>
          <w:highlight w:val="none"/>
        </w:rPr>
      </w:pPr>
      <w:bookmarkStart w:id="75" w:name="_Toc20823300"/>
      <w:bookmarkStart w:id="76" w:name="_Toc513029228"/>
      <w:bookmarkStart w:id="77" w:name="_Toc16938544"/>
      <w:r>
        <w:rPr>
          <w:rFonts w:ascii="仿宋" w:hAnsi="仿宋" w:eastAsia="仿宋"/>
          <w:color w:val="auto"/>
          <w:sz w:val="24"/>
          <w:szCs w:val="24"/>
          <w:highlight w:val="none"/>
        </w:rPr>
        <w:t>4.响应文件的撤回和修改</w:t>
      </w:r>
      <w:bookmarkEnd w:id="75"/>
      <w:bookmarkEnd w:id="76"/>
      <w:bookmarkEnd w:id="77"/>
    </w:p>
    <w:p w14:paraId="2D7ED5F8">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4.1 响应文件的撤回</w:t>
      </w:r>
    </w:p>
    <w:p w14:paraId="30B5BA38">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4.1.1 响应文件的撤回</w:t>
      </w:r>
    </w:p>
    <w:p w14:paraId="12B8B386">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供应商可在响应文件提交截止时间前，撤回其响应文件。</w:t>
      </w:r>
    </w:p>
    <w:p w14:paraId="1407F08B">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4.1.2 供应商撤回响应文件，则认为其不再参与本项目</w:t>
      </w:r>
      <w:r>
        <w:rPr>
          <w:rFonts w:hint="eastAsia" w:ascii="仿宋" w:hAnsi="仿宋" w:eastAsia="仿宋" w:cs="仿宋"/>
          <w:color w:val="auto"/>
          <w:sz w:val="24"/>
          <w:szCs w:val="24"/>
          <w:highlight w:val="none"/>
        </w:rPr>
        <w:t>开标</w:t>
      </w:r>
      <w:r>
        <w:rPr>
          <w:rFonts w:ascii="仿宋" w:hAnsi="仿宋" w:eastAsia="仿宋" w:cs="仿宋"/>
          <w:color w:val="auto"/>
          <w:sz w:val="24"/>
          <w:szCs w:val="24"/>
          <w:highlight w:val="none"/>
        </w:rPr>
        <w:t>活动。</w:t>
      </w:r>
    </w:p>
    <w:p w14:paraId="153AB92B">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4.2 响应文件的修改</w:t>
      </w:r>
    </w:p>
    <w:p w14:paraId="2B46C7A5">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供应商可在响应文件提交截止时间前，对其响应文件进行修改。</w:t>
      </w:r>
    </w:p>
    <w:p w14:paraId="2629388E">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4.3 在响应文件提交截止时间之后，供应商不得对其响应文件作任何修改。</w:t>
      </w:r>
    </w:p>
    <w:p w14:paraId="799D2754">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4.4 在响应文件截止时间至</w:t>
      </w:r>
      <w:r>
        <w:rPr>
          <w:rFonts w:hint="eastAsia" w:ascii="仿宋" w:hAnsi="仿宋" w:eastAsia="仿宋" w:cs="仿宋"/>
          <w:color w:val="auto"/>
          <w:sz w:val="24"/>
          <w:szCs w:val="24"/>
          <w:highlight w:val="none"/>
        </w:rPr>
        <w:t>采购文件</w:t>
      </w:r>
      <w:r>
        <w:rPr>
          <w:rFonts w:ascii="仿宋" w:hAnsi="仿宋" w:eastAsia="仿宋" w:cs="仿宋"/>
          <w:color w:val="auto"/>
          <w:sz w:val="24"/>
          <w:szCs w:val="24"/>
          <w:highlight w:val="none"/>
        </w:rPr>
        <w:t>中规定的</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响应有效期满之间的这段时间内，供应商不得撤回其响应文件。</w:t>
      </w:r>
    </w:p>
    <w:p w14:paraId="0BD53465">
      <w:pPr>
        <w:pStyle w:val="4"/>
        <w:spacing w:before="0" w:after="0"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5</w:t>
      </w:r>
      <w:r>
        <w:rPr>
          <w:rFonts w:ascii="仿宋" w:hAnsi="仿宋" w:eastAsia="仿宋"/>
          <w:color w:val="auto"/>
          <w:sz w:val="24"/>
          <w:szCs w:val="24"/>
          <w:highlight w:val="none"/>
        </w:rPr>
        <w:t>.</w:t>
      </w:r>
      <w:r>
        <w:rPr>
          <w:rFonts w:hint="eastAsia" w:ascii="仿宋" w:hAnsi="仿宋" w:eastAsia="仿宋"/>
          <w:color w:val="auto"/>
          <w:sz w:val="24"/>
          <w:szCs w:val="24"/>
          <w:highlight w:val="none"/>
        </w:rPr>
        <w:t>询价响应报价</w:t>
      </w:r>
    </w:p>
    <w:p w14:paraId="235F54F0">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5.1 </w:t>
      </w:r>
      <w:r>
        <w:rPr>
          <w:rFonts w:hint="eastAsia" w:ascii="仿宋" w:hAnsi="仿宋" w:eastAsia="仿宋" w:cs="仿宋"/>
          <w:color w:val="auto"/>
          <w:sz w:val="24"/>
          <w:szCs w:val="24"/>
          <w:highlight w:val="none"/>
        </w:rPr>
        <w:t>本项目只允许一个报价，不接受任何有选择的报价。</w:t>
      </w:r>
    </w:p>
    <w:p w14:paraId="54E7D90F">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5.2 </w:t>
      </w:r>
      <w:r>
        <w:rPr>
          <w:rFonts w:hint="eastAsia" w:ascii="仿宋" w:hAnsi="仿宋" w:eastAsia="仿宋" w:cs="仿宋"/>
          <w:color w:val="auto"/>
          <w:sz w:val="24"/>
          <w:szCs w:val="24"/>
          <w:highlight w:val="none"/>
        </w:rPr>
        <w:t>报价均以人民币为报价的货币单位。</w:t>
      </w:r>
    </w:p>
    <w:p w14:paraId="47D31AC2">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5.3 </w:t>
      </w:r>
      <w:r>
        <w:rPr>
          <w:rFonts w:hint="eastAsia" w:ascii="仿宋" w:hAnsi="仿宋" w:eastAsia="仿宋" w:cs="仿宋"/>
          <w:color w:val="auto"/>
          <w:sz w:val="24"/>
          <w:szCs w:val="24"/>
          <w:highlight w:val="none"/>
        </w:rPr>
        <w:t>报价表必须加盖询价响应供应商公章且必须经法定代表人或其委托授权人签署。</w:t>
      </w:r>
    </w:p>
    <w:p w14:paraId="23E7D2AE">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5.4 </w:t>
      </w:r>
      <w:r>
        <w:rPr>
          <w:rFonts w:hint="eastAsia" w:ascii="仿宋" w:hAnsi="仿宋" w:eastAsia="仿宋" w:cs="仿宋"/>
          <w:color w:val="auto"/>
          <w:sz w:val="24"/>
          <w:szCs w:val="24"/>
          <w:highlight w:val="none"/>
        </w:rPr>
        <w:t>询价响应文件报价出现前后不一致的，按照下列规定修正：</w:t>
      </w:r>
    </w:p>
    <w:p w14:paraId="3104F21C">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ascii="仿宋" w:hAnsi="仿宋" w:eastAsia="仿宋" w:cs="仿宋"/>
          <w:color w:val="auto"/>
          <w:sz w:val="24"/>
          <w:szCs w:val="24"/>
          <w:highlight w:val="none"/>
        </w:rPr>
        <w:t xml:space="preserve">.4.1 </w:t>
      </w:r>
      <w:r>
        <w:rPr>
          <w:rFonts w:hint="eastAsia" w:ascii="仿宋" w:hAnsi="仿宋" w:eastAsia="仿宋" w:cs="仿宋"/>
          <w:color w:val="auto"/>
          <w:sz w:val="24"/>
          <w:szCs w:val="24"/>
          <w:highlight w:val="none"/>
        </w:rPr>
        <w:t>询价响应文件中报价表内容与询价响应文件中明细内容不一致的，以报价表为准；</w:t>
      </w:r>
    </w:p>
    <w:p w14:paraId="64FCDCCC">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ascii="仿宋" w:hAnsi="仿宋" w:eastAsia="仿宋" w:cs="仿宋"/>
          <w:color w:val="auto"/>
          <w:sz w:val="24"/>
          <w:szCs w:val="24"/>
          <w:highlight w:val="none"/>
        </w:rPr>
        <w:t xml:space="preserve">.4.2 </w:t>
      </w:r>
      <w:r>
        <w:rPr>
          <w:rFonts w:hint="eastAsia" w:ascii="仿宋" w:hAnsi="仿宋" w:eastAsia="仿宋" w:cs="仿宋"/>
          <w:color w:val="auto"/>
          <w:sz w:val="24"/>
          <w:szCs w:val="24"/>
          <w:highlight w:val="none"/>
        </w:rPr>
        <w:t>大写金额和小写金额不一致的，以大写金额为准；</w:t>
      </w:r>
    </w:p>
    <w:p w14:paraId="5EDD2921">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ascii="仿宋" w:hAnsi="仿宋" w:eastAsia="仿宋" w:cs="仿宋"/>
          <w:color w:val="auto"/>
          <w:sz w:val="24"/>
          <w:szCs w:val="24"/>
          <w:highlight w:val="none"/>
        </w:rPr>
        <w:t xml:space="preserve">.4.3 </w:t>
      </w:r>
      <w:r>
        <w:rPr>
          <w:rFonts w:hint="eastAsia" w:ascii="仿宋" w:hAnsi="仿宋" w:eastAsia="仿宋" w:cs="仿宋"/>
          <w:color w:val="auto"/>
          <w:sz w:val="24"/>
          <w:szCs w:val="24"/>
          <w:highlight w:val="none"/>
        </w:rPr>
        <w:t>单价金额小数点或者百分比有明显错位的，以询价响应报价总表中的总价为准，并修改单价；</w:t>
      </w:r>
    </w:p>
    <w:p w14:paraId="3B002B3F">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ascii="仿宋" w:hAnsi="仿宋" w:eastAsia="仿宋" w:cs="仿宋"/>
          <w:color w:val="auto"/>
          <w:sz w:val="24"/>
          <w:szCs w:val="24"/>
          <w:highlight w:val="none"/>
        </w:rPr>
        <w:t xml:space="preserve">.4.4 </w:t>
      </w:r>
      <w:r>
        <w:rPr>
          <w:rFonts w:hint="eastAsia" w:ascii="仿宋" w:hAnsi="仿宋" w:eastAsia="仿宋" w:cs="仿宋"/>
          <w:color w:val="auto"/>
          <w:sz w:val="24"/>
          <w:szCs w:val="24"/>
          <w:highlight w:val="none"/>
        </w:rPr>
        <w:t>总价金额与按单价汇总金额不一致的，以单价金额计算结果为准。</w:t>
      </w:r>
    </w:p>
    <w:p w14:paraId="6D8702C5">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ascii="仿宋" w:hAnsi="仿宋" w:eastAsia="仿宋" w:cs="仿宋"/>
          <w:color w:val="auto"/>
          <w:sz w:val="24"/>
          <w:szCs w:val="24"/>
          <w:highlight w:val="none"/>
        </w:rPr>
        <w:t xml:space="preserve">.4.5 </w:t>
      </w:r>
      <w:r>
        <w:rPr>
          <w:rFonts w:hint="eastAsia" w:ascii="仿宋" w:hAnsi="仿宋" w:eastAsia="仿宋" w:cs="仿宋"/>
          <w:color w:val="auto"/>
          <w:sz w:val="24"/>
          <w:szCs w:val="24"/>
          <w:highlight w:val="none"/>
        </w:rPr>
        <w:t>同时出现两种以上不一致的，按照前款规定的顺序修正。修正后的报价经询价响应供应商确认后产生约束力，询价响应供应商不确认的，其询价响应无效。</w:t>
      </w:r>
    </w:p>
    <w:p w14:paraId="2F89FAE7">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5.5 </w:t>
      </w:r>
      <w:r>
        <w:rPr>
          <w:rFonts w:hint="eastAsia" w:ascii="仿宋" w:hAnsi="仿宋" w:eastAsia="仿宋" w:cs="仿宋"/>
          <w:color w:val="auto"/>
          <w:sz w:val="24"/>
          <w:szCs w:val="24"/>
          <w:highlight w:val="none"/>
        </w:rPr>
        <w:t>询价响应报价总价应包括本项目的全部费用(含一切必须的辅助材料费用)及相关服务费等。</w:t>
      </w:r>
    </w:p>
    <w:p w14:paraId="1FAABDA0">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5.6 </w:t>
      </w:r>
      <w:r>
        <w:rPr>
          <w:rFonts w:hint="eastAsia" w:ascii="仿宋" w:hAnsi="仿宋" w:eastAsia="仿宋" w:cs="仿宋"/>
          <w:b/>
          <w:bCs/>
          <w:color w:val="auto"/>
          <w:sz w:val="24"/>
          <w:szCs w:val="24"/>
          <w:highlight w:val="none"/>
        </w:rPr>
        <w:t>本次询价采购活动项目的响应报价为一次报定价。</w:t>
      </w:r>
      <w:r>
        <w:rPr>
          <w:rFonts w:hint="eastAsia" w:ascii="仿宋" w:hAnsi="仿宋" w:eastAsia="仿宋" w:cs="仿宋"/>
          <w:color w:val="auto"/>
          <w:sz w:val="24"/>
          <w:szCs w:val="24"/>
          <w:highlight w:val="none"/>
        </w:rPr>
        <w:t>询价响应成交后，报价即为成交价，除非因特殊原因并经买卖双方协商同意，成交供应商不得再要求追加任何费用。同时，除非合同条款中另有规定，否则成交供应商的成交价在合同实施期间不因市场变化因素而变动。</w:t>
      </w:r>
    </w:p>
    <w:p w14:paraId="2AAF50EC">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5.7 </w:t>
      </w:r>
      <w:r>
        <w:rPr>
          <w:rFonts w:hint="eastAsia" w:ascii="仿宋" w:hAnsi="仿宋" w:eastAsia="仿宋" w:cs="仿宋"/>
          <w:color w:val="auto"/>
          <w:sz w:val="24"/>
          <w:szCs w:val="24"/>
          <w:highlight w:val="none"/>
        </w:rPr>
        <w:t>如因采购人实际需求，货物或服务数量发生变化，成交人须无条件满足采购人需求，确保货物或服务质量；结算时按实际供货物或服务量进行结算，综合单价不变。</w:t>
      </w:r>
    </w:p>
    <w:p w14:paraId="5A0CA615">
      <w:pPr>
        <w:pStyle w:val="3"/>
        <w:spacing w:before="0" w:after="0" w:line="360" w:lineRule="auto"/>
        <w:rPr>
          <w:rFonts w:ascii="仿宋" w:hAnsi="仿宋" w:eastAsia="仿宋"/>
          <w:color w:val="auto"/>
          <w:sz w:val="24"/>
          <w:szCs w:val="24"/>
          <w:highlight w:val="none"/>
        </w:rPr>
      </w:pPr>
      <w:bookmarkStart w:id="78" w:name="_Toc20823301"/>
      <w:bookmarkStart w:id="79" w:name="_Toc513029229"/>
      <w:bookmarkStart w:id="80" w:name="_Toc16938545"/>
      <w:bookmarkStart w:id="81" w:name="_Toc120614218"/>
      <w:r>
        <w:rPr>
          <w:rFonts w:ascii="仿宋" w:hAnsi="仿宋" w:eastAsia="仿宋"/>
          <w:color w:val="auto"/>
          <w:sz w:val="24"/>
          <w:szCs w:val="24"/>
          <w:highlight w:val="none"/>
        </w:rPr>
        <w:t>（五）</w:t>
      </w:r>
      <w:bookmarkEnd w:id="78"/>
      <w:bookmarkEnd w:id="79"/>
      <w:bookmarkEnd w:id="80"/>
      <w:bookmarkEnd w:id="81"/>
      <w:bookmarkStart w:id="82" w:name="_Toc16938546"/>
      <w:bookmarkStart w:id="83" w:name="_Toc513029230"/>
      <w:bookmarkStart w:id="84" w:name="_Toc20823302"/>
      <w:r>
        <w:rPr>
          <w:rFonts w:hint="eastAsia" w:ascii="仿宋" w:hAnsi="仿宋" w:eastAsia="仿宋"/>
          <w:color w:val="auto"/>
          <w:sz w:val="24"/>
          <w:szCs w:val="24"/>
          <w:highlight w:val="none"/>
        </w:rPr>
        <w:t>开标</w:t>
      </w:r>
      <w:r>
        <w:rPr>
          <w:rFonts w:ascii="仿宋" w:hAnsi="仿宋" w:eastAsia="仿宋"/>
          <w:color w:val="auto"/>
          <w:sz w:val="24"/>
          <w:szCs w:val="24"/>
          <w:highlight w:val="none"/>
        </w:rPr>
        <w:t>与评审</w:t>
      </w:r>
    </w:p>
    <w:p w14:paraId="4D6CC232">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1.</w:t>
      </w:r>
      <w:r>
        <w:rPr>
          <w:rFonts w:hint="eastAsia" w:ascii="仿宋" w:hAnsi="仿宋" w:eastAsia="仿宋"/>
          <w:color w:val="auto"/>
          <w:sz w:val="24"/>
          <w:szCs w:val="24"/>
          <w:highlight w:val="none"/>
        </w:rPr>
        <w:t>开标</w:t>
      </w:r>
      <w:r>
        <w:rPr>
          <w:rFonts w:ascii="仿宋" w:hAnsi="仿宋" w:eastAsia="仿宋"/>
          <w:color w:val="auto"/>
          <w:sz w:val="24"/>
          <w:szCs w:val="24"/>
          <w:highlight w:val="none"/>
        </w:rPr>
        <w:t>仪式</w:t>
      </w:r>
    </w:p>
    <w:p w14:paraId="3B483F39">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1.1 </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将在询价公告中规定的时间和地点组织</w:t>
      </w:r>
      <w:r>
        <w:rPr>
          <w:rFonts w:hint="eastAsia" w:ascii="仿宋" w:hAnsi="仿宋" w:eastAsia="仿宋" w:cs="仿宋"/>
          <w:color w:val="auto"/>
          <w:sz w:val="24"/>
          <w:szCs w:val="24"/>
          <w:highlight w:val="none"/>
        </w:rPr>
        <w:t>开标</w:t>
      </w:r>
      <w:r>
        <w:rPr>
          <w:rFonts w:ascii="仿宋" w:hAnsi="仿宋" w:eastAsia="仿宋" w:cs="仿宋"/>
          <w:color w:val="auto"/>
          <w:sz w:val="24"/>
          <w:szCs w:val="24"/>
          <w:highlight w:val="none"/>
        </w:rPr>
        <w:t>开始仪式。</w:t>
      </w:r>
    </w:p>
    <w:p w14:paraId="62B24A2E">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1.2 </w:t>
      </w:r>
      <w:r>
        <w:rPr>
          <w:rFonts w:hint="eastAsia" w:ascii="仿宋" w:hAnsi="仿宋" w:eastAsia="仿宋" w:cs="仿宋"/>
          <w:color w:val="auto"/>
          <w:sz w:val="24"/>
          <w:szCs w:val="24"/>
          <w:highlight w:val="none"/>
        </w:rPr>
        <w:t>开标</w:t>
      </w:r>
      <w:r>
        <w:rPr>
          <w:rFonts w:ascii="仿宋" w:hAnsi="仿宋" w:eastAsia="仿宋" w:cs="仿宋"/>
          <w:color w:val="auto"/>
          <w:sz w:val="24"/>
          <w:szCs w:val="24"/>
          <w:highlight w:val="none"/>
        </w:rPr>
        <w:t>活动由</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组织，</w:t>
      </w:r>
      <w:r>
        <w:rPr>
          <w:rFonts w:hint="eastAsia" w:ascii="仿宋" w:hAnsi="仿宋" w:eastAsia="仿宋" w:cs="仿宋"/>
          <w:color w:val="auto"/>
          <w:sz w:val="24"/>
          <w:szCs w:val="24"/>
          <w:highlight w:val="none"/>
        </w:rPr>
        <w:t>开标结束后</w:t>
      </w:r>
      <w:r>
        <w:rPr>
          <w:rFonts w:ascii="仿宋" w:hAnsi="仿宋" w:eastAsia="仿宋" w:cs="仿宋"/>
          <w:color w:val="auto"/>
          <w:sz w:val="24"/>
          <w:szCs w:val="24"/>
          <w:highlight w:val="none"/>
        </w:rPr>
        <w:t>公布各供应商的</w:t>
      </w:r>
      <w:r>
        <w:rPr>
          <w:rFonts w:hint="eastAsia" w:ascii="仿宋" w:hAnsi="仿宋" w:eastAsia="仿宋" w:cs="仿宋"/>
          <w:color w:val="auto"/>
          <w:sz w:val="24"/>
          <w:szCs w:val="24"/>
          <w:highlight w:val="none"/>
        </w:rPr>
        <w:t>投标</w:t>
      </w:r>
      <w:r>
        <w:rPr>
          <w:rFonts w:ascii="仿宋" w:hAnsi="仿宋" w:eastAsia="仿宋" w:cs="仿宋"/>
          <w:color w:val="auto"/>
          <w:sz w:val="24"/>
          <w:szCs w:val="24"/>
          <w:highlight w:val="none"/>
        </w:rPr>
        <w:t>报价。</w:t>
      </w:r>
    </w:p>
    <w:p w14:paraId="52390EAA">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评标</w:t>
      </w:r>
      <w:r>
        <w:rPr>
          <w:rFonts w:ascii="仿宋" w:hAnsi="仿宋" w:eastAsia="仿宋"/>
          <w:color w:val="auto"/>
          <w:sz w:val="24"/>
          <w:szCs w:val="24"/>
          <w:highlight w:val="none"/>
        </w:rPr>
        <w:t>小组</w:t>
      </w:r>
    </w:p>
    <w:p w14:paraId="0CFF5DF0">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rPr>
        <w:t>开标</w:t>
      </w:r>
      <w:r>
        <w:rPr>
          <w:rFonts w:ascii="仿宋" w:hAnsi="仿宋" w:eastAsia="仿宋" w:cs="仿宋"/>
          <w:color w:val="auto"/>
          <w:sz w:val="24"/>
          <w:szCs w:val="24"/>
          <w:highlight w:val="none"/>
        </w:rPr>
        <w:t>开始仪式结束后，</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将立即组织</w:t>
      </w:r>
      <w:r>
        <w:rPr>
          <w:rFonts w:hint="eastAsia" w:ascii="仿宋" w:hAnsi="仿宋" w:eastAsia="仿宋" w:cs="仿宋"/>
          <w:color w:val="auto"/>
          <w:sz w:val="24"/>
          <w:szCs w:val="24"/>
          <w:highlight w:val="none"/>
        </w:rPr>
        <w:t>评标</w:t>
      </w:r>
      <w:r>
        <w:rPr>
          <w:rFonts w:ascii="仿宋" w:hAnsi="仿宋" w:eastAsia="仿宋" w:cs="仿宋"/>
          <w:color w:val="auto"/>
          <w:sz w:val="24"/>
          <w:szCs w:val="24"/>
          <w:highlight w:val="none"/>
        </w:rPr>
        <w:t>小组进行评审。</w:t>
      </w:r>
    </w:p>
    <w:p w14:paraId="0E0309FF">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 评标小组由采购人代表和评审专家共3人以上单数组成，其中评审专家人数不得少于评标小组成员总数的2/3。采购人不得以评审专家身份参加本部门或本单位采购项目的评审。</w:t>
      </w:r>
    </w:p>
    <w:p w14:paraId="2803CF19">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2.3 评标小组独立工作，负责评审所有响应文件并确定成交</w:t>
      </w:r>
      <w:r>
        <w:rPr>
          <w:rFonts w:hint="eastAsia" w:ascii="仿宋" w:hAnsi="仿宋" w:eastAsia="仿宋" w:cs="仿宋"/>
          <w:color w:val="auto"/>
          <w:sz w:val="24"/>
          <w:szCs w:val="24"/>
          <w:highlight w:val="none"/>
          <w:lang w:eastAsia="zh-CN"/>
        </w:rPr>
        <w:t>候选人</w:t>
      </w:r>
      <w:r>
        <w:rPr>
          <w:rFonts w:ascii="仿宋" w:hAnsi="仿宋" w:eastAsia="仿宋" w:cs="仿宋"/>
          <w:color w:val="auto"/>
          <w:sz w:val="24"/>
          <w:szCs w:val="24"/>
          <w:highlight w:val="none"/>
        </w:rPr>
        <w:t>。</w:t>
      </w:r>
    </w:p>
    <w:p w14:paraId="70FE9E8C">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3.评审过程的保密与公正</w:t>
      </w:r>
    </w:p>
    <w:p w14:paraId="50F5079B">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3.1 评标小组、</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工作人员、相关监督人员等与评审工作有关的人员，对评审情况以及在评审过程中获悉的国家秘密、商业秘密负有保密责任。</w:t>
      </w:r>
    </w:p>
    <w:p w14:paraId="7D23B51F">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3.2 在评审过程中，供应商不得以任何行为影响评审过程，否则其响应文件将被作为无效响应文件。</w:t>
      </w:r>
    </w:p>
    <w:p w14:paraId="5A7B412C">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3.3 评标小组成员应当按照客观、公正、审慎的原则，根据采购文件规定的评审程序、评审方法和评审标准进行独立评审。未实质性响应采购文件的响应文件按无效响应处理，评标小组应当告知提交响应文件的供应商。</w:t>
      </w:r>
    </w:p>
    <w:p w14:paraId="3EE91B8C">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3.4 评审开始后，直至向成交供应商授予合同时止，凡是与审查、澄清、评价和比较响应的有关资料以及授标建议等，采购人、评标小组、</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均不得向供应商或与评标无关的其他人员透露。</w:t>
      </w:r>
    </w:p>
    <w:p w14:paraId="355D9DB9">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3.5 在评审期间，</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将设专门人员与供应商联系。</w:t>
      </w:r>
    </w:p>
    <w:p w14:paraId="1F2B910D">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3.6 </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和评审小组不向未成交的供应商解释未成交原因，也不公布评审过程中的相关细节。</w:t>
      </w:r>
    </w:p>
    <w:p w14:paraId="55E60B9E">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4</w:t>
      </w:r>
      <w:r>
        <w:rPr>
          <w:rFonts w:hint="eastAsia" w:ascii="仿宋" w:hAnsi="仿宋" w:eastAsia="仿宋"/>
          <w:color w:val="auto"/>
          <w:sz w:val="24"/>
          <w:szCs w:val="24"/>
          <w:highlight w:val="none"/>
        </w:rPr>
        <w:t>.</w:t>
      </w:r>
      <w:r>
        <w:rPr>
          <w:rFonts w:ascii="仿宋" w:hAnsi="仿宋" w:eastAsia="仿宋"/>
          <w:color w:val="auto"/>
          <w:sz w:val="24"/>
          <w:szCs w:val="24"/>
          <w:highlight w:val="none"/>
        </w:rPr>
        <w:t>评审过程的澄清</w:t>
      </w:r>
    </w:p>
    <w:p w14:paraId="39A3F2DF">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4.1 评审期间，为有助于对响应文件的审查、评价和比较，评标小组有权以电子函件形式要求响应人对其响应文件进行澄清，但并非对每个供应商都作澄清要求。</w:t>
      </w:r>
    </w:p>
    <w:p w14:paraId="74E5C6BC">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4.2 接到评标小组澄清要求的供应商应派人按评标小组规定的时间和格式做出澄清，澄清的内容作为响应文件的补充部分，但实质性的内容不得做任何更改。</w:t>
      </w:r>
    </w:p>
    <w:p w14:paraId="3E6AA43D">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4.3 接到评标小组澄清要求的供应商如未按规定做出澄清，其风险由供应商自行承担。</w:t>
      </w:r>
    </w:p>
    <w:p w14:paraId="2F2FE9F8">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5.对响应文件的初审</w:t>
      </w:r>
    </w:p>
    <w:p w14:paraId="1A5EFB00">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5.1 响应文件初审分为资格性审查和符合性审查。</w:t>
      </w:r>
    </w:p>
    <w:p w14:paraId="1CAF0375">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5.1.1 资格性检查：依据法律法规和采购文件的规定，由采购人对响应文件中的资格审查证明材料进行审查，资格审查的结论，采购人以书面形式向评标小组进行反馈。</w:t>
      </w:r>
    </w:p>
    <w:p w14:paraId="2D334761">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5.1.2 符合性审查：依据采购文件的规定，由评标小组从响应文件的有效性、完整性和对采购文件的响应程度进行审查，以确定是否对采购文件的实质性要求作出响应。</w:t>
      </w:r>
    </w:p>
    <w:p w14:paraId="400D3807">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5.1.3 未通过资格审查或符合性审查的供应商，</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将告知未通过资格审查或符合性审查的原因，评审结束后，</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将不再告知未通过资格审查或符合性审查的原因。</w:t>
      </w:r>
    </w:p>
    <w:p w14:paraId="1C509EE9">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5.2 在正式</w:t>
      </w:r>
      <w:r>
        <w:rPr>
          <w:rFonts w:hint="eastAsia" w:ascii="仿宋" w:hAnsi="仿宋" w:eastAsia="仿宋" w:cs="仿宋"/>
          <w:color w:val="auto"/>
          <w:sz w:val="24"/>
          <w:szCs w:val="24"/>
          <w:highlight w:val="none"/>
        </w:rPr>
        <w:t>评标</w:t>
      </w:r>
      <w:r>
        <w:rPr>
          <w:rFonts w:ascii="仿宋" w:hAnsi="仿宋" w:eastAsia="仿宋" w:cs="仿宋"/>
          <w:color w:val="auto"/>
          <w:sz w:val="24"/>
          <w:szCs w:val="24"/>
          <w:highlight w:val="none"/>
        </w:rPr>
        <w:t>之前，评标小组将首先审查每份响应文件是否实质性响应了采购文件的要求。实质性响应的响应文件应该是与采购文件要求的全部条款、条件和规格相符，没有重大负偏离或保留。</w:t>
      </w:r>
    </w:p>
    <w:p w14:paraId="3F9BB4B3">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所谓重大负偏离或保留是指与采购文件规定的实质性要求存在负偏离，或者在实质上与采购文件不一致，而且限制了合同中买方和见证方的权利或供应商的义务，纠正这些偏离或保留将会对其他实质性响应要求的供应商的竞争地位产生不公正的影响。重大偏离由评标小组按照少数服从多数的原则认定。评标小组决定响应文件的响应性只根据响应文件本身的内容，而不寻求外部的证据。</w:t>
      </w:r>
    </w:p>
    <w:p w14:paraId="00EDF1A4">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5.3 如果响应文件实质上没有响应采购文件的要求，评标小组将予以拒绝，供应商不得通过修改或撤销不合要求的偏离或保留而使其响应文件成为实质性响应的文件。</w:t>
      </w:r>
    </w:p>
    <w:p w14:paraId="102A47EA">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5.4 评标小组将允许修正响应文件中不构成重大偏离的、微小的、非正规的、不一致的或不规则的地方，但这些修改不能影响任何供应商相应的名次排列。</w:t>
      </w:r>
    </w:p>
    <w:p w14:paraId="12EF92AE">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5.5 供应商在评审全过程中应保持通讯畅通，并安排专人与</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及评标小组联系。</w:t>
      </w:r>
    </w:p>
    <w:p w14:paraId="15328E11">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6.被认定为未实质性响应采购文件的响应文件的情形。</w:t>
      </w:r>
    </w:p>
    <w:p w14:paraId="27ABD8CC">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 出现下列情形之一的，作无效响应处理。</w:t>
      </w:r>
    </w:p>
    <w:p w14:paraId="29BC52BD">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6.1.1 供应商在规定的时间内未成功</w:t>
      </w:r>
      <w:r>
        <w:rPr>
          <w:rFonts w:hint="eastAsia" w:ascii="仿宋" w:hAnsi="仿宋" w:eastAsia="仿宋" w:cs="仿宋"/>
          <w:color w:val="auto"/>
          <w:sz w:val="24"/>
          <w:szCs w:val="24"/>
          <w:highlight w:val="none"/>
        </w:rPr>
        <w:t>提交</w:t>
      </w:r>
      <w:r>
        <w:rPr>
          <w:rFonts w:ascii="仿宋" w:hAnsi="仿宋" w:eastAsia="仿宋" w:cs="仿宋"/>
          <w:color w:val="auto"/>
          <w:sz w:val="24"/>
          <w:szCs w:val="24"/>
          <w:highlight w:val="none"/>
        </w:rPr>
        <w:t>响应文件的。</w:t>
      </w:r>
    </w:p>
    <w:p w14:paraId="7BF3AAD8">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6.1.2 未完整</w:t>
      </w:r>
      <w:r>
        <w:rPr>
          <w:rFonts w:hint="eastAsia" w:ascii="仿宋" w:hAnsi="仿宋" w:eastAsia="仿宋" w:cs="仿宋"/>
          <w:color w:val="auto"/>
          <w:sz w:val="24"/>
          <w:szCs w:val="24"/>
          <w:highlight w:val="none"/>
        </w:rPr>
        <w:t>提交</w:t>
      </w:r>
      <w:r>
        <w:rPr>
          <w:rFonts w:ascii="仿宋" w:hAnsi="仿宋" w:eastAsia="仿宋" w:cs="仿宋"/>
          <w:color w:val="auto"/>
          <w:sz w:val="24"/>
          <w:szCs w:val="24"/>
          <w:highlight w:val="none"/>
        </w:rPr>
        <w:t>响应文件文档的。</w:t>
      </w:r>
    </w:p>
    <w:p w14:paraId="2289ABD3">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6.1.3 同一供应商提交两个（含两个）以上不同的响应报价的。</w:t>
      </w:r>
    </w:p>
    <w:p w14:paraId="1C568947">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6.1.4 不具备采购文件中规定的资格要求的。</w:t>
      </w:r>
    </w:p>
    <w:p w14:paraId="34D02C3C">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6.1.5 响应报价超过了采购预算或最高限价的。</w:t>
      </w:r>
    </w:p>
    <w:p w14:paraId="39CBB25B">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6.1.6 未通过符合性检查的。</w:t>
      </w:r>
    </w:p>
    <w:p w14:paraId="02839515">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6.1.7 不符合法律、法规和采购文件中规定的其他实质性要求的。</w:t>
      </w:r>
    </w:p>
    <w:p w14:paraId="333BBFDC">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6.1.8 供应商被“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2C20FF3D">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6.1.9 响应文件含有采购人不能接受的附加条件的。</w:t>
      </w:r>
    </w:p>
    <w:p w14:paraId="4AF9B831">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6.1.10 评标小组认为供应商的报价明显</w:t>
      </w:r>
      <w:r>
        <w:rPr>
          <w:rFonts w:hint="eastAsia" w:ascii="仿宋" w:hAnsi="仿宋" w:eastAsia="仿宋" w:cs="仿宋"/>
          <w:color w:val="auto"/>
          <w:sz w:val="24"/>
          <w:szCs w:val="24"/>
          <w:highlight w:val="none"/>
          <w:lang w:val="en-US" w:eastAsia="zh-CN"/>
        </w:rPr>
        <w:t>偏离</w:t>
      </w:r>
      <w:r>
        <w:rPr>
          <w:rFonts w:ascii="仿宋" w:hAnsi="仿宋" w:eastAsia="仿宋" w:cs="仿宋"/>
          <w:color w:val="auto"/>
          <w:sz w:val="24"/>
          <w:szCs w:val="24"/>
          <w:highlight w:val="none"/>
        </w:rPr>
        <w:t>其他通过符合性审查供应商的报价，有可能影响产品质量或者不能诚信履约的，评标小组应当将其作为无效响应处理。</w:t>
      </w:r>
    </w:p>
    <w:p w14:paraId="7C47D189">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6.1.11 响应文件未按照采购文件要求加盖签章。</w:t>
      </w:r>
    </w:p>
    <w:p w14:paraId="2394A4E5">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6.1.12 不同的供应商响应文件</w:t>
      </w:r>
      <w:r>
        <w:rPr>
          <w:rFonts w:hint="eastAsia" w:ascii="仿宋" w:hAnsi="仿宋" w:eastAsia="仿宋" w:cs="仿宋"/>
          <w:color w:val="auto"/>
          <w:sz w:val="24"/>
          <w:szCs w:val="24"/>
          <w:highlight w:val="none"/>
        </w:rPr>
        <w:t>制作雷同的</w:t>
      </w:r>
      <w:r>
        <w:rPr>
          <w:rFonts w:ascii="仿宋" w:hAnsi="仿宋" w:eastAsia="仿宋" w:cs="仿宋"/>
          <w:color w:val="auto"/>
          <w:sz w:val="24"/>
          <w:szCs w:val="24"/>
          <w:highlight w:val="none"/>
        </w:rPr>
        <w:t>。</w:t>
      </w:r>
    </w:p>
    <w:p w14:paraId="28F6D72B">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6.1.13 其他法律、法规及本采购文件规定的属无效响应的情形。</w:t>
      </w:r>
    </w:p>
    <w:p w14:paraId="6D51F7AD">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6.2 出现下列情形之一的，</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失败。</w:t>
      </w:r>
    </w:p>
    <w:p w14:paraId="5F55C295">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6.2.1 符合条件的供应商或者对采购文件作实质响应的供应商不足3家的（市场竞争不充分的科研项目，以及需要扶持的科技成果转化项目可以是2家）；</w:t>
      </w:r>
    </w:p>
    <w:p w14:paraId="408537DD">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6.2.2 出现影响采购公正的违法违规行为的；</w:t>
      </w:r>
    </w:p>
    <w:p w14:paraId="73B9A215">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6.2.3 因重大变故，采购任务取消的。</w:t>
      </w:r>
    </w:p>
    <w:p w14:paraId="14E660E7">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6.2.4 评标小组认定采购文件存在歧义、重大缺陷导致评审工作无法进行。</w:t>
      </w:r>
    </w:p>
    <w:p w14:paraId="1EB8BF2B">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6.3 响应文件提交截止时间结束后参加</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的供应商不足三家的处理：</w:t>
      </w:r>
    </w:p>
    <w:p w14:paraId="583611CE">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6.3.1 如出现响应文件提交截止时间结束后参加</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的供应商或者在评审期间对采购文件做出实质响应的供应商不足三家情况，按政府采购相关规定执行。</w:t>
      </w:r>
    </w:p>
    <w:bookmarkEnd w:id="82"/>
    <w:bookmarkEnd w:id="83"/>
    <w:bookmarkEnd w:id="84"/>
    <w:p w14:paraId="2ADBC7DD">
      <w:pPr>
        <w:pStyle w:val="3"/>
        <w:spacing w:before="0" w:after="0" w:line="360" w:lineRule="auto"/>
        <w:rPr>
          <w:rFonts w:ascii="仿宋" w:hAnsi="仿宋" w:eastAsia="仿宋"/>
          <w:color w:val="auto"/>
          <w:sz w:val="24"/>
          <w:szCs w:val="24"/>
          <w:highlight w:val="none"/>
        </w:rPr>
      </w:pPr>
      <w:bookmarkStart w:id="85" w:name="_Toc120614219"/>
      <w:r>
        <w:rPr>
          <w:rFonts w:ascii="仿宋" w:hAnsi="仿宋" w:eastAsia="仿宋"/>
          <w:color w:val="auto"/>
          <w:sz w:val="24"/>
          <w:szCs w:val="24"/>
          <w:highlight w:val="none"/>
        </w:rPr>
        <w:t>（六）</w:t>
      </w:r>
      <w:bookmarkEnd w:id="85"/>
      <w:r>
        <w:rPr>
          <w:rFonts w:ascii="仿宋" w:hAnsi="仿宋" w:eastAsia="仿宋"/>
          <w:color w:val="auto"/>
          <w:sz w:val="24"/>
          <w:szCs w:val="24"/>
          <w:highlight w:val="none"/>
        </w:rPr>
        <w:t>成交</w:t>
      </w:r>
    </w:p>
    <w:p w14:paraId="23DE6B22">
      <w:pPr>
        <w:pStyle w:val="4"/>
        <w:spacing w:before="0" w:after="0" w:line="360" w:lineRule="auto"/>
        <w:rPr>
          <w:rFonts w:ascii="仿宋" w:hAnsi="仿宋" w:eastAsia="仿宋"/>
          <w:color w:val="auto"/>
          <w:sz w:val="24"/>
          <w:szCs w:val="24"/>
          <w:highlight w:val="none"/>
        </w:rPr>
      </w:pPr>
      <w:bookmarkStart w:id="86" w:name="_Toc16938554"/>
      <w:bookmarkStart w:id="87" w:name="_Toc20823310"/>
      <w:r>
        <w:rPr>
          <w:rFonts w:ascii="仿宋" w:hAnsi="仿宋" w:eastAsia="仿宋"/>
          <w:color w:val="auto"/>
          <w:sz w:val="24"/>
          <w:szCs w:val="24"/>
          <w:highlight w:val="none"/>
        </w:rPr>
        <w:t>1.确定</w:t>
      </w:r>
      <w:bookmarkEnd w:id="86"/>
      <w:bookmarkEnd w:id="87"/>
      <w:r>
        <w:rPr>
          <w:rFonts w:ascii="仿宋" w:hAnsi="仿宋" w:eastAsia="仿宋"/>
          <w:color w:val="auto"/>
          <w:sz w:val="24"/>
          <w:szCs w:val="24"/>
          <w:highlight w:val="none"/>
        </w:rPr>
        <w:t>成交单位</w:t>
      </w:r>
    </w:p>
    <w:p w14:paraId="25559F6E">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1.1 成交候选供应商的选取原则和数量见采购文件第四部分规定。</w:t>
      </w:r>
    </w:p>
    <w:p w14:paraId="367DB5C2">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1.2 采购人授权评标小组在成交候选供应商中直接确定成交供应商。</w:t>
      </w:r>
    </w:p>
    <w:p w14:paraId="553939D1">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1.3 </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将在</w:t>
      </w:r>
      <w:r>
        <w:rPr>
          <w:rFonts w:hint="eastAsia" w:ascii="仿宋" w:hAnsi="仿宋" w:eastAsia="仿宋" w:cs="仿宋"/>
          <w:color w:val="auto"/>
          <w:sz w:val="24"/>
          <w:szCs w:val="24"/>
          <w:highlight w:val="none"/>
        </w:rPr>
        <w:t>指定媒体上</w:t>
      </w:r>
      <w:r>
        <w:rPr>
          <w:rFonts w:ascii="仿宋" w:hAnsi="仿宋" w:eastAsia="仿宋" w:cs="仿宋"/>
          <w:color w:val="auto"/>
          <w:sz w:val="24"/>
          <w:szCs w:val="24"/>
          <w:highlight w:val="none"/>
        </w:rPr>
        <w:t>发布成交结果公告，公告期限为1个工作日。</w:t>
      </w:r>
    </w:p>
    <w:p w14:paraId="6F0B79FA">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4</w:t>
      </w:r>
      <w:r>
        <w:rPr>
          <w:rFonts w:ascii="仿宋" w:hAnsi="仿宋" w:eastAsia="仿宋" w:cs="仿宋"/>
          <w:color w:val="auto"/>
          <w:sz w:val="24"/>
          <w:szCs w:val="24"/>
          <w:highlight w:val="none"/>
        </w:rPr>
        <w:t xml:space="preserve"> 若有充分证据证明，成交供应商出现下列情况之一的，一经查实，将被取消成交资格：</w:t>
      </w:r>
    </w:p>
    <w:p w14:paraId="3B04696A">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1.4.1 提供虚假材料谋取成交的。</w:t>
      </w:r>
    </w:p>
    <w:p w14:paraId="425A1BB9">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1.4.2 向采购人、</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行贿或者评审专家提供其他不正当利益的。</w:t>
      </w:r>
    </w:p>
    <w:p w14:paraId="4769B839">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1.4.3 恶意竞争，最终总报价明显低于其自身合理成本且又无法提供证明的。</w:t>
      </w:r>
    </w:p>
    <w:p w14:paraId="50466207">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1.4.4 属于本文件规定的无效条件，但在评审过程中又未被评标小组发现的。</w:t>
      </w:r>
    </w:p>
    <w:p w14:paraId="6256F76B">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1.4.5 与采购人或者其他供应商恶意串通的。</w:t>
      </w:r>
    </w:p>
    <w:p w14:paraId="2FDA6F27">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1.4.6 采取不正当手段诋毁、排挤其他供应商的。</w:t>
      </w:r>
    </w:p>
    <w:p w14:paraId="459F5372">
      <w:pPr>
        <w:widowControl/>
        <w:shd w:val="clear" w:color="auto" w:fill="FFFFFF"/>
        <w:spacing w:line="360" w:lineRule="auto"/>
        <w:ind w:firstLine="480" w:firstLineChars="200"/>
        <w:jc w:val="left"/>
        <w:rPr>
          <w:rFonts w:ascii="仿宋" w:hAnsi="仿宋" w:eastAsia="仿宋" w:cs="仿宋"/>
          <w:color w:val="auto"/>
          <w:sz w:val="24"/>
          <w:szCs w:val="24"/>
          <w:highlight w:val="none"/>
        </w:rPr>
      </w:pPr>
      <w:bookmarkStart w:id="88" w:name="_Toc200451960"/>
      <w:r>
        <w:rPr>
          <w:rFonts w:ascii="仿宋" w:hAnsi="仿宋" w:eastAsia="仿宋" w:cs="仿宋"/>
          <w:color w:val="auto"/>
          <w:sz w:val="24"/>
          <w:szCs w:val="24"/>
          <w:highlight w:val="none"/>
        </w:rPr>
        <w:t>1.5 有下列情形之一的，视为供应商串通参与</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，响应无效：</w:t>
      </w:r>
    </w:p>
    <w:p w14:paraId="1859398A">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1.5.1 不同供应商的响应文件由同一单位或者个人编制；</w:t>
      </w:r>
    </w:p>
    <w:p w14:paraId="427848E4">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1.5.2 不同供应商委托同一单位或者个人办理</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事宜；</w:t>
      </w:r>
    </w:p>
    <w:p w14:paraId="04D20A26">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1.5.3 不同供应商的响应文件载明的项目管理成员或者联系人员为同一人；</w:t>
      </w:r>
    </w:p>
    <w:p w14:paraId="523A4FB2">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1.5.4 不同供应商的响应文件异常一致或者响应报价呈规律性差异。</w:t>
      </w:r>
    </w:p>
    <w:p w14:paraId="72107395">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2.质疑处理</w:t>
      </w:r>
      <w:bookmarkEnd w:id="88"/>
    </w:p>
    <w:p w14:paraId="7D33E923">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2.1 提出质疑的供应商应当是参与所质疑项目采购活动的供应商。潜在供应商依法获取其可质疑的采购文件的，可以对采购文件提出质疑。</w:t>
      </w:r>
    </w:p>
    <w:p w14:paraId="2CAD2AD9">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 供应商认为采购文件、采购过程和采购结果使自己的权益受到损害的，可以在知道或应知其权益受到损害之日起七个工作日内，以书面形式向</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或采购人提出质疑。上述应知其权益受到损害之日，是指：</w:t>
      </w:r>
    </w:p>
    <w:p w14:paraId="6A706C1D">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2.2.1 对可以质疑的采购文件提出质疑的，为收到采购文件之日或者采购文件公告期限届满之日；</w:t>
      </w:r>
    </w:p>
    <w:p w14:paraId="5F91770E">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2.2.2 对采购过程提出质疑的，为各采购程序环节结束之日；</w:t>
      </w:r>
    </w:p>
    <w:p w14:paraId="6D488771">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2.2.3 对成交结果提出质疑的，为成交结果公告期限届满之日。</w:t>
      </w:r>
    </w:p>
    <w:p w14:paraId="47810E6A">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供应商应当在法定质疑期内一次性提出针对同一采购程序环节的质疑。</w:t>
      </w:r>
    </w:p>
    <w:p w14:paraId="71131979">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2.3 质疑函必须按照本采购文件中《质疑函范本》要求的格式和内容进行填写。供应商如组成联合体参加</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，则《质疑函范本》中要求签字、盖章、加盖公章之处，联合体各方均须按要求签字、盖章、加盖公章。</w:t>
      </w:r>
    </w:p>
    <w:p w14:paraId="0DAECBF6">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2.4 对采购方式、采购文件中项目需求、供应商资格条件、评审方法和评审标准、资格审查结果等应当由采购人答复的质疑，请向采购人提出，由采购人负责答复。供应商对其他事项的质疑，请向</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提出，由</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负责答复。</w:t>
      </w:r>
    </w:p>
    <w:p w14:paraId="7503ACFF">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采购人质疑接收人及联系方式，见采购文件第一部分。</w:t>
      </w:r>
    </w:p>
    <w:p w14:paraId="51D2AA11">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2.5 以下情形的质疑不予受理</w:t>
      </w:r>
    </w:p>
    <w:p w14:paraId="398806FC">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2.5.1 内容不符合《政府采购质疑和投诉办法》第十二条规定的质疑。</w:t>
      </w:r>
    </w:p>
    <w:p w14:paraId="36069E22">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2.5.2 超出政府采购法定期限的质疑。</w:t>
      </w:r>
    </w:p>
    <w:p w14:paraId="73840BC3">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2.5.3 未参加</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活动的供应商或在</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活动中自身权益未受到损害的供应商所提出的质疑。</w:t>
      </w:r>
    </w:p>
    <w:p w14:paraId="7E10EA64">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2.5.4 供应商组成联合体参加</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，联合体中任何一方或多方未按要求签字、盖章、加盖公章的质疑。</w:t>
      </w:r>
    </w:p>
    <w:p w14:paraId="4585385F">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2.6 供应商提出书面质疑必须有理、有据，不得捏造事实、提供虚假材料进行恶意质疑。否则，一经查实，</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有权依据政府采购的有关规定，报请政府采购监管部门对该供应商进行相应的行政处罚和记录该供应商的失信信息。</w:t>
      </w:r>
    </w:p>
    <w:p w14:paraId="5BF6AAF2">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3．成交通知书</w:t>
      </w:r>
    </w:p>
    <w:p w14:paraId="3C6C2690">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3.l 成交结果确定后，</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将向成交供应商发出成交通知书。</w:t>
      </w:r>
    </w:p>
    <w:p w14:paraId="149250AD">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3.2 成交通知书将是合同的一个组成部分。对采购人和成交供应商均具有法律效力。成交通知书发出后，采购人改变成交结果的，或者成交供应商放弃</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项目的，应当依法承担法律责任。</w:t>
      </w:r>
    </w:p>
    <w:p w14:paraId="46A33F22">
      <w:pPr>
        <w:pStyle w:val="3"/>
        <w:spacing w:before="0" w:after="0" w:line="360" w:lineRule="auto"/>
        <w:rPr>
          <w:rFonts w:ascii="仿宋" w:hAnsi="仿宋" w:eastAsia="仿宋"/>
          <w:color w:val="auto"/>
          <w:sz w:val="24"/>
          <w:szCs w:val="24"/>
          <w:highlight w:val="none"/>
        </w:rPr>
      </w:pPr>
      <w:bookmarkStart w:id="89" w:name="_Toc120614220"/>
      <w:bookmarkStart w:id="90" w:name="_Toc16938552"/>
      <w:bookmarkStart w:id="91" w:name="_Toc20823308"/>
      <w:bookmarkStart w:id="92" w:name="_Toc513029236"/>
      <w:r>
        <w:rPr>
          <w:rFonts w:ascii="仿宋" w:hAnsi="仿宋" w:eastAsia="仿宋"/>
          <w:color w:val="auto"/>
          <w:sz w:val="24"/>
          <w:szCs w:val="24"/>
          <w:highlight w:val="none"/>
        </w:rPr>
        <w:t>（七）授予合同</w:t>
      </w:r>
      <w:bookmarkEnd w:id="89"/>
    </w:p>
    <w:bookmarkEnd w:id="90"/>
    <w:bookmarkEnd w:id="91"/>
    <w:bookmarkEnd w:id="92"/>
    <w:p w14:paraId="6E9A980E">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1.签订合同</w:t>
      </w:r>
    </w:p>
    <w:p w14:paraId="217C5C02">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1.l 成交供应商应当在成交通知书发出之日起三十日内，按照采购文件确定的事项与采购人签订政府采购合同。</w:t>
      </w:r>
    </w:p>
    <w:p w14:paraId="50462D09">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1.2 采购文件、成交供应商的响应文件及</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过程中有关澄清、承诺文件均应作为合同附件。</w:t>
      </w:r>
    </w:p>
    <w:p w14:paraId="75E74181">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1.3 签订合同后，成交供应商不得将货物及其他相关服务进行转包。未经采购人同意，成交供应商也不得采用分包的形式履行合同，否则采购人有权终止合同。政府采购合同分包履行的，成交供应商就采购项目和分包项目向采购人负责，分包供应商就分包项目承担责任。转包或分包造成采购人损失的，成交供应商应承担相应赔偿责任。</w:t>
      </w:r>
    </w:p>
    <w:p w14:paraId="0697D427">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rPr>
        <w:t>履约保证金</w:t>
      </w:r>
    </w:p>
    <w:p w14:paraId="5E41322C">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免收。</w:t>
      </w:r>
    </w:p>
    <w:p w14:paraId="4A7A4F4D">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2.货物和服务的追加、减少和添购。</w:t>
      </w:r>
    </w:p>
    <w:p w14:paraId="4A8AE546">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2.1 政府采购合同履行中，采购人需追加与合同标的相同的货物和服务的，在不改变合同其他条款的前提下，可以与成交供应商协商签订补充合同，但所有补充合同的采购金额不超过原合同金额10%。</w:t>
      </w:r>
    </w:p>
    <w:p w14:paraId="5DF144D7">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 采购结束后，采购人若由于各种客观原因，必须对采购项目所牵涉的货物和服务进行适当的减少时，在双方协商一致的前提下，可以按照采购时的价格水平做相应的调减，并据此签订补充合同。</w:t>
      </w:r>
    </w:p>
    <w:p w14:paraId="481BF48A">
      <w:pPr>
        <w:widowControl/>
        <w:jc w:val="left"/>
        <w:rPr>
          <w:rFonts w:ascii="仿宋" w:hAnsi="仿宋" w:eastAsia="仿宋"/>
          <w:color w:val="auto"/>
          <w:sz w:val="28"/>
          <w:szCs w:val="28"/>
          <w:highlight w:val="none"/>
        </w:rPr>
      </w:pPr>
      <w:r>
        <w:rPr>
          <w:rFonts w:ascii="仿宋" w:hAnsi="仿宋" w:eastAsia="仿宋"/>
          <w:color w:val="auto"/>
          <w:sz w:val="28"/>
          <w:szCs w:val="28"/>
          <w:highlight w:val="none"/>
        </w:rPr>
        <w:br w:type="page"/>
      </w:r>
    </w:p>
    <w:p w14:paraId="7DCE2075">
      <w:pPr>
        <w:pStyle w:val="2"/>
        <w:spacing w:before="159" w:beforeLines="50" w:after="159" w:afterLines="50"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第三部分 项目需求</w:t>
      </w:r>
    </w:p>
    <w:p w14:paraId="2F3AA925">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2998CC97">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不能简单照搬照抄采购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2BB00FDE">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一、有关要求说明</w:t>
      </w:r>
    </w:p>
    <w:p w14:paraId="7A17B43F">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1.主要技术参数：为鼓励不同品牌的充分竞争，如某主要技术参数属于个别品牌专有，则该主要技术参数不具有限制性，供应商可对该参数进行适当调整，并说明调整的理由。</w:t>
      </w:r>
    </w:p>
    <w:p w14:paraId="28EDDE53">
      <w:pPr>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产品要求：产品必须是全新、未使用过的原装合格正品，完全符合采购文件规定的质量、规格和性能的要求，达到国家或行业规定的标准，实行生产许可证制度的，应提供生产许可证；属于国家强制认证的产品，必须通过认证。</w:t>
      </w:r>
    </w:p>
    <w:p w14:paraId="26404375">
      <w:pPr>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14:paraId="47C4E2AB">
      <w:pPr>
        <w:widowControl/>
        <w:spacing w:line="360" w:lineRule="auto"/>
        <w:ind w:firstLine="482" w:firstLineChars="200"/>
        <w:jc w:val="left"/>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二、项目清单</w:t>
      </w:r>
    </w:p>
    <w:p w14:paraId="15036438">
      <w:pPr>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br w:type="page"/>
      </w:r>
    </w:p>
    <w:p w14:paraId="004D420F">
      <w:pPr>
        <w:widowControl/>
        <w:spacing w:line="360" w:lineRule="auto"/>
        <w:ind w:firstLine="482" w:firstLineChars="200"/>
        <w:jc w:val="left"/>
        <w:rPr>
          <w:rFonts w:hint="eastAsia" w:ascii="仿宋" w:hAnsi="仿宋" w:eastAsia="仿宋" w:cs="宋体"/>
          <w:b/>
          <w:bCs/>
          <w:color w:val="auto"/>
          <w:sz w:val="24"/>
          <w:szCs w:val="24"/>
          <w:highlight w:val="none"/>
        </w:rPr>
      </w:pPr>
    </w:p>
    <w:tbl>
      <w:tblPr>
        <w:tblStyle w:val="17"/>
        <w:tblW w:w="9829" w:type="dxa"/>
        <w:jc w:val="center"/>
        <w:tblLayout w:type="fixed"/>
        <w:tblCellMar>
          <w:top w:w="0" w:type="dxa"/>
          <w:left w:w="108" w:type="dxa"/>
          <w:bottom w:w="0" w:type="dxa"/>
          <w:right w:w="108" w:type="dxa"/>
        </w:tblCellMar>
      </w:tblPr>
      <w:tblGrid>
        <w:gridCol w:w="1235"/>
        <w:gridCol w:w="3969"/>
        <w:gridCol w:w="1185"/>
        <w:gridCol w:w="2908"/>
        <w:gridCol w:w="532"/>
      </w:tblGrid>
      <w:tr w14:paraId="5B49092A">
        <w:tblPrEx>
          <w:tblCellMar>
            <w:top w:w="0" w:type="dxa"/>
            <w:left w:w="108" w:type="dxa"/>
            <w:bottom w:w="0" w:type="dxa"/>
            <w:right w:w="108" w:type="dxa"/>
          </w:tblCellMar>
        </w:tblPrEx>
        <w:trPr>
          <w:trHeight w:val="499" w:hRule="atLeast"/>
          <w:jc w:val="center"/>
        </w:trPr>
        <w:tc>
          <w:tcPr>
            <w:tcW w:w="1235" w:type="dxa"/>
            <w:tcBorders>
              <w:top w:val="single" w:color="auto" w:sz="4" w:space="0"/>
              <w:left w:val="single" w:color="auto" w:sz="4" w:space="0"/>
              <w:bottom w:val="single" w:color="auto" w:sz="4" w:space="0"/>
              <w:right w:val="single" w:color="auto" w:sz="4" w:space="0"/>
            </w:tcBorders>
            <w:noWrap/>
            <w:vAlign w:val="center"/>
          </w:tcPr>
          <w:p w14:paraId="643AB0CC">
            <w:pPr>
              <w:widowControl/>
              <w:jc w:val="center"/>
              <w:rPr>
                <w:rFonts w:ascii="宋体" w:cs="宋体"/>
                <w:color w:val="000000"/>
                <w:kern w:val="0"/>
                <w:sz w:val="22"/>
                <w:szCs w:val="22"/>
              </w:rPr>
            </w:pPr>
            <w:r>
              <w:rPr>
                <w:rFonts w:hint="eastAsia" w:ascii="宋体" w:hAnsi="宋体" w:cs="宋体"/>
                <w:color w:val="000000"/>
                <w:kern w:val="0"/>
                <w:sz w:val="22"/>
                <w:szCs w:val="22"/>
              </w:rPr>
              <w:t>序号</w:t>
            </w:r>
          </w:p>
        </w:tc>
        <w:tc>
          <w:tcPr>
            <w:tcW w:w="3969" w:type="dxa"/>
            <w:tcBorders>
              <w:top w:val="single" w:color="auto" w:sz="4" w:space="0"/>
              <w:left w:val="nil"/>
              <w:bottom w:val="single" w:color="auto" w:sz="4" w:space="0"/>
              <w:right w:val="single" w:color="auto" w:sz="4" w:space="0"/>
            </w:tcBorders>
            <w:noWrap/>
            <w:vAlign w:val="center"/>
          </w:tcPr>
          <w:p w14:paraId="637A1856">
            <w:pPr>
              <w:widowControl/>
              <w:jc w:val="center"/>
              <w:rPr>
                <w:rFonts w:ascii="宋体" w:cs="宋体"/>
                <w:color w:val="000000"/>
                <w:kern w:val="0"/>
                <w:sz w:val="22"/>
                <w:szCs w:val="22"/>
              </w:rPr>
            </w:pPr>
            <w:r>
              <w:rPr>
                <w:rFonts w:hint="eastAsia" w:ascii="宋体" w:hAnsi="宋体" w:cs="宋体"/>
                <w:color w:val="000000"/>
                <w:kern w:val="0"/>
                <w:sz w:val="22"/>
                <w:szCs w:val="22"/>
              </w:rPr>
              <w:t>名称</w:t>
            </w:r>
          </w:p>
        </w:tc>
        <w:tc>
          <w:tcPr>
            <w:tcW w:w="1185" w:type="dxa"/>
            <w:tcBorders>
              <w:top w:val="single" w:color="auto" w:sz="4" w:space="0"/>
              <w:left w:val="nil"/>
              <w:bottom w:val="single" w:color="auto" w:sz="4" w:space="0"/>
              <w:right w:val="single" w:color="auto" w:sz="4" w:space="0"/>
            </w:tcBorders>
            <w:noWrap/>
            <w:vAlign w:val="center"/>
          </w:tcPr>
          <w:p w14:paraId="4F57D5E7">
            <w:pPr>
              <w:widowControl/>
              <w:jc w:val="center"/>
              <w:rPr>
                <w:rFonts w:ascii="宋体" w:cs="宋体"/>
                <w:color w:val="000000"/>
                <w:kern w:val="0"/>
                <w:sz w:val="22"/>
                <w:szCs w:val="22"/>
              </w:rPr>
            </w:pPr>
            <w:r>
              <w:rPr>
                <w:rFonts w:hint="eastAsia" w:ascii="宋体" w:cs="宋体"/>
                <w:color w:val="000000"/>
                <w:kern w:val="0"/>
                <w:sz w:val="22"/>
                <w:szCs w:val="22"/>
              </w:rPr>
              <w:t>品牌</w:t>
            </w:r>
          </w:p>
        </w:tc>
        <w:tc>
          <w:tcPr>
            <w:tcW w:w="2908" w:type="dxa"/>
            <w:tcBorders>
              <w:top w:val="single" w:color="auto" w:sz="4" w:space="0"/>
              <w:left w:val="nil"/>
              <w:bottom w:val="single" w:color="auto" w:sz="4" w:space="0"/>
              <w:right w:val="single" w:color="auto" w:sz="4" w:space="0"/>
            </w:tcBorders>
            <w:noWrap w:val="0"/>
            <w:vAlign w:val="center"/>
          </w:tcPr>
          <w:p w14:paraId="4B327430">
            <w:pPr>
              <w:jc w:val="center"/>
              <w:rPr>
                <w:rFonts w:ascii="宋体" w:cs="宋体"/>
                <w:color w:val="000000"/>
                <w:kern w:val="0"/>
                <w:sz w:val="22"/>
                <w:szCs w:val="22"/>
              </w:rPr>
            </w:pPr>
            <w:r>
              <w:rPr>
                <w:rFonts w:hint="eastAsia" w:ascii="宋体" w:hAnsi="宋体" w:cs="宋体"/>
                <w:color w:val="000000"/>
                <w:kern w:val="0"/>
                <w:sz w:val="22"/>
                <w:szCs w:val="22"/>
              </w:rPr>
              <w:t>规格和型号</w:t>
            </w:r>
          </w:p>
        </w:tc>
        <w:tc>
          <w:tcPr>
            <w:tcW w:w="532" w:type="dxa"/>
            <w:tcBorders>
              <w:top w:val="single" w:color="auto" w:sz="4" w:space="0"/>
              <w:left w:val="nil"/>
              <w:bottom w:val="single" w:color="auto" w:sz="4" w:space="0"/>
              <w:right w:val="single" w:color="auto" w:sz="4" w:space="0"/>
            </w:tcBorders>
            <w:noWrap/>
            <w:vAlign w:val="center"/>
          </w:tcPr>
          <w:p w14:paraId="61EA0AA4">
            <w:pPr>
              <w:widowControl/>
              <w:jc w:val="center"/>
              <w:rPr>
                <w:rFonts w:ascii="宋体" w:cs="宋体"/>
                <w:color w:val="000000"/>
                <w:kern w:val="0"/>
                <w:sz w:val="22"/>
                <w:szCs w:val="22"/>
              </w:rPr>
            </w:pPr>
            <w:r>
              <w:rPr>
                <w:rFonts w:hint="eastAsia" w:ascii="宋体" w:hAnsi="宋体" w:cs="宋体"/>
                <w:color w:val="000000"/>
                <w:kern w:val="0"/>
                <w:sz w:val="22"/>
                <w:szCs w:val="22"/>
              </w:rPr>
              <w:t>单位</w:t>
            </w:r>
          </w:p>
        </w:tc>
      </w:tr>
      <w:tr w14:paraId="2FAD8E56">
        <w:tblPrEx>
          <w:tblCellMar>
            <w:top w:w="0" w:type="dxa"/>
            <w:left w:w="108" w:type="dxa"/>
            <w:bottom w:w="0" w:type="dxa"/>
            <w:right w:w="108" w:type="dxa"/>
          </w:tblCellMar>
        </w:tblPrEx>
        <w:trPr>
          <w:trHeight w:val="273" w:hRule="atLeast"/>
          <w:jc w:val="center"/>
        </w:trPr>
        <w:tc>
          <w:tcPr>
            <w:tcW w:w="1235" w:type="dxa"/>
            <w:vMerge w:val="restart"/>
            <w:tcBorders>
              <w:top w:val="single" w:color="auto" w:sz="4" w:space="0"/>
              <w:left w:val="single" w:color="auto" w:sz="4" w:space="0"/>
              <w:right w:val="single" w:color="auto" w:sz="4" w:space="0"/>
            </w:tcBorders>
            <w:noWrap w:val="0"/>
            <w:vAlign w:val="center"/>
          </w:tcPr>
          <w:p w14:paraId="616FB995">
            <w:pPr>
              <w:jc w:val="center"/>
              <w:rPr>
                <w:rFonts w:ascii="宋体" w:hAnsi="宋体" w:cs="宋体"/>
                <w:color w:val="000000"/>
                <w:kern w:val="0"/>
                <w:sz w:val="20"/>
                <w:szCs w:val="20"/>
              </w:rPr>
            </w:pPr>
            <w:r>
              <w:rPr>
                <w:rFonts w:hint="eastAsia" w:ascii="宋体" w:hAnsi="宋体" w:cs="宋体"/>
                <w:color w:val="000000"/>
                <w:kern w:val="0"/>
                <w:sz w:val="20"/>
                <w:szCs w:val="20"/>
              </w:rPr>
              <w:t>分包1</w:t>
            </w:r>
          </w:p>
          <w:p w14:paraId="6B92A474">
            <w:pPr>
              <w:jc w:val="center"/>
              <w:rPr>
                <w:rFonts w:ascii="宋体" w:hAnsi="宋体" w:cs="宋体"/>
                <w:color w:val="000000"/>
                <w:kern w:val="0"/>
                <w:sz w:val="20"/>
                <w:szCs w:val="20"/>
              </w:rPr>
            </w:pPr>
            <w:r>
              <w:rPr>
                <w:rFonts w:hint="eastAsia" w:ascii="宋体" w:hAnsi="宋体" w:cs="宋体"/>
                <w:color w:val="000000"/>
                <w:kern w:val="0"/>
                <w:sz w:val="20"/>
                <w:szCs w:val="20"/>
              </w:rPr>
              <w:t>(标准品)</w:t>
            </w:r>
          </w:p>
        </w:tc>
        <w:tc>
          <w:tcPr>
            <w:tcW w:w="3969" w:type="dxa"/>
            <w:tcBorders>
              <w:top w:val="nil"/>
              <w:left w:val="single" w:color="auto" w:sz="4" w:space="0"/>
              <w:bottom w:val="single" w:color="auto" w:sz="4" w:space="0"/>
              <w:right w:val="single" w:color="auto" w:sz="4" w:space="0"/>
            </w:tcBorders>
            <w:noWrap/>
            <w:vAlign w:val="center"/>
          </w:tcPr>
          <w:p w14:paraId="49FC9B82">
            <w:pPr>
              <w:widowControl/>
              <w:jc w:val="left"/>
              <w:rPr>
                <w:rFonts w:ascii="宋体" w:cs="宋体"/>
                <w:color w:val="000000"/>
                <w:kern w:val="0"/>
                <w:szCs w:val="21"/>
              </w:rPr>
            </w:pPr>
            <w:r>
              <w:rPr>
                <w:rFonts w:hint="eastAsia" w:ascii="宋体" w:hAnsi="宋体" w:cs="宋体"/>
                <w:color w:val="000000"/>
                <w:kern w:val="0"/>
                <w:sz w:val="18"/>
                <w:szCs w:val="18"/>
              </w:rPr>
              <w:t>9种β-受体激动剂药物混标</w:t>
            </w:r>
            <w:r>
              <w:rPr>
                <w:rFonts w:hint="eastAsia" w:ascii="宋体" w:hAnsi="宋体" w:cs="宋体"/>
                <w:color w:val="000000"/>
                <w:kern w:val="0"/>
                <w:sz w:val="11"/>
                <w:szCs w:val="11"/>
              </w:rPr>
              <w:t>（特布他林、西马特罗、沙丁胺醇、非诺特罗、氯丙那林、莱克多巴胺、克伦特罗、妥布特罗、喷布特罗）</w:t>
            </w:r>
          </w:p>
        </w:tc>
        <w:tc>
          <w:tcPr>
            <w:tcW w:w="1185" w:type="dxa"/>
            <w:tcBorders>
              <w:top w:val="nil"/>
              <w:left w:val="nil"/>
              <w:bottom w:val="single" w:color="auto" w:sz="4" w:space="0"/>
              <w:right w:val="single" w:color="auto" w:sz="4" w:space="0"/>
            </w:tcBorders>
            <w:noWrap/>
            <w:vAlign w:val="center"/>
          </w:tcPr>
          <w:p w14:paraId="6AB3907D">
            <w:pPr>
              <w:widowControl/>
              <w:jc w:val="center"/>
              <w:rPr>
                <w:rFonts w:ascii="宋体" w:cs="宋体"/>
                <w:color w:val="000000"/>
                <w:kern w:val="0"/>
                <w:sz w:val="15"/>
                <w:szCs w:val="15"/>
              </w:rPr>
            </w:pPr>
          </w:p>
        </w:tc>
        <w:tc>
          <w:tcPr>
            <w:tcW w:w="2908" w:type="dxa"/>
            <w:tcBorders>
              <w:top w:val="nil"/>
              <w:left w:val="nil"/>
              <w:bottom w:val="single" w:color="auto" w:sz="4" w:space="0"/>
              <w:right w:val="single" w:color="auto" w:sz="4" w:space="0"/>
            </w:tcBorders>
            <w:noWrap w:val="0"/>
            <w:vAlign w:val="center"/>
          </w:tcPr>
          <w:p w14:paraId="634469E0">
            <w:pPr>
              <w:widowControl/>
              <w:jc w:val="left"/>
              <w:rPr>
                <w:rFonts w:ascii="宋体" w:cs="宋体"/>
                <w:color w:val="000000"/>
                <w:kern w:val="0"/>
                <w:sz w:val="15"/>
                <w:szCs w:val="15"/>
              </w:rPr>
            </w:pPr>
            <w:r>
              <w:rPr>
                <w:rFonts w:hint="eastAsia"/>
                <w:color w:val="000000"/>
                <w:sz w:val="15"/>
                <w:szCs w:val="15"/>
              </w:rPr>
              <w:t>100mg/L于LC-MS级甲醇（折算成非盐形式的浓度），1ml/支</w:t>
            </w:r>
          </w:p>
        </w:tc>
        <w:tc>
          <w:tcPr>
            <w:tcW w:w="532" w:type="dxa"/>
            <w:tcBorders>
              <w:top w:val="nil"/>
              <w:left w:val="nil"/>
              <w:bottom w:val="single" w:color="auto" w:sz="4" w:space="0"/>
              <w:right w:val="single" w:color="auto" w:sz="4" w:space="0"/>
            </w:tcBorders>
            <w:noWrap/>
            <w:vAlign w:val="center"/>
          </w:tcPr>
          <w:p w14:paraId="7B4ED2A2">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r>
      <w:tr w14:paraId="1C1C8F83">
        <w:tblPrEx>
          <w:tblCellMar>
            <w:top w:w="0" w:type="dxa"/>
            <w:left w:w="108" w:type="dxa"/>
            <w:bottom w:w="0" w:type="dxa"/>
            <w:right w:w="108" w:type="dxa"/>
          </w:tblCellMar>
        </w:tblPrEx>
        <w:trPr>
          <w:trHeight w:val="187" w:hRule="atLeast"/>
          <w:jc w:val="center"/>
        </w:trPr>
        <w:tc>
          <w:tcPr>
            <w:tcW w:w="1235" w:type="dxa"/>
            <w:vMerge w:val="continue"/>
            <w:tcBorders>
              <w:left w:val="single" w:color="auto" w:sz="4" w:space="0"/>
              <w:right w:val="single" w:color="auto" w:sz="4" w:space="0"/>
            </w:tcBorders>
            <w:noWrap/>
            <w:vAlign w:val="center"/>
          </w:tcPr>
          <w:p w14:paraId="1AC2C9C8">
            <w:pPr>
              <w:widowControl/>
              <w:jc w:val="center"/>
              <w:rPr>
                <w:rFonts w:ascii="宋体" w:hAnsi="宋体" w:cs="宋体"/>
                <w:color w:val="000000"/>
                <w:kern w:val="0"/>
                <w:sz w:val="15"/>
                <w:szCs w:val="15"/>
              </w:rPr>
            </w:pPr>
          </w:p>
        </w:tc>
        <w:tc>
          <w:tcPr>
            <w:tcW w:w="3969" w:type="dxa"/>
            <w:tcBorders>
              <w:top w:val="nil"/>
              <w:left w:val="single" w:color="auto" w:sz="4" w:space="0"/>
              <w:bottom w:val="single" w:color="auto" w:sz="4" w:space="0"/>
              <w:right w:val="single" w:color="auto" w:sz="4" w:space="0"/>
            </w:tcBorders>
            <w:noWrap/>
            <w:vAlign w:val="center"/>
          </w:tcPr>
          <w:p w14:paraId="26052377">
            <w:pPr>
              <w:widowControl/>
              <w:jc w:val="left"/>
              <w:rPr>
                <w:rFonts w:ascii="宋体" w:cs="宋体"/>
                <w:color w:val="000000"/>
                <w:kern w:val="0"/>
                <w:sz w:val="18"/>
                <w:szCs w:val="18"/>
              </w:rPr>
            </w:pPr>
            <w:r>
              <w:rPr>
                <w:rFonts w:hint="eastAsia" w:ascii="宋体" w:hAnsi="宋体" w:cs="宋体"/>
                <w:color w:val="000000"/>
                <w:kern w:val="0"/>
                <w:sz w:val="18"/>
                <w:szCs w:val="18"/>
              </w:rPr>
              <w:t>9种β-受体激动剂药物同位素混标</w:t>
            </w:r>
            <w:r>
              <w:rPr>
                <w:rFonts w:hint="eastAsia" w:ascii="宋体" w:hAnsi="宋体" w:cs="宋体"/>
                <w:color w:val="000000"/>
                <w:kern w:val="0"/>
                <w:sz w:val="11"/>
                <w:szCs w:val="11"/>
              </w:rPr>
              <w:t>（特布他林-D9、西马特罗</w:t>
            </w:r>
            <w:r>
              <w:rPr>
                <w:rFonts w:ascii="宋体" w:hAnsi="宋体" w:cs="宋体"/>
                <w:color w:val="000000"/>
                <w:kern w:val="0"/>
                <w:sz w:val="11"/>
                <w:szCs w:val="11"/>
              </w:rPr>
              <w:t>-D7、</w:t>
            </w:r>
            <w:r>
              <w:rPr>
                <w:rFonts w:hint="eastAsia" w:ascii="宋体" w:hAnsi="宋体" w:cs="宋体"/>
                <w:color w:val="000000"/>
                <w:kern w:val="0"/>
                <w:sz w:val="11"/>
                <w:szCs w:val="11"/>
              </w:rPr>
              <w:t>沙丁胺醇</w:t>
            </w:r>
            <w:r>
              <w:rPr>
                <w:rFonts w:ascii="宋体" w:hAnsi="宋体" w:cs="宋体"/>
                <w:color w:val="000000"/>
                <w:kern w:val="0"/>
                <w:sz w:val="11"/>
                <w:szCs w:val="11"/>
              </w:rPr>
              <w:t>-D3、</w:t>
            </w:r>
            <w:r>
              <w:rPr>
                <w:rFonts w:hint="eastAsia" w:ascii="宋体" w:hAnsi="宋体" w:cs="宋体"/>
                <w:color w:val="000000"/>
                <w:kern w:val="0"/>
                <w:sz w:val="11"/>
                <w:szCs w:val="11"/>
              </w:rPr>
              <w:t>非诺特罗-D6、氯丙那林-</w:t>
            </w:r>
            <w:r>
              <w:rPr>
                <w:rFonts w:ascii="宋体" w:hAnsi="宋体" w:cs="宋体"/>
                <w:color w:val="000000"/>
                <w:kern w:val="0"/>
                <w:sz w:val="11"/>
                <w:szCs w:val="11"/>
              </w:rPr>
              <w:t>D7、</w:t>
            </w:r>
            <w:r>
              <w:rPr>
                <w:rFonts w:hint="eastAsia" w:ascii="宋体" w:hAnsi="宋体" w:cs="宋体"/>
                <w:color w:val="000000"/>
                <w:kern w:val="0"/>
                <w:sz w:val="11"/>
                <w:szCs w:val="11"/>
              </w:rPr>
              <w:t>莱克多巴胺</w:t>
            </w:r>
            <w:r>
              <w:rPr>
                <w:rFonts w:ascii="宋体" w:hAnsi="宋体" w:cs="宋体"/>
                <w:color w:val="000000"/>
                <w:kern w:val="0"/>
                <w:sz w:val="11"/>
                <w:szCs w:val="11"/>
              </w:rPr>
              <w:t>-D6、</w:t>
            </w:r>
            <w:r>
              <w:rPr>
                <w:rFonts w:hint="eastAsia" w:ascii="宋体" w:hAnsi="宋体" w:cs="宋体"/>
                <w:color w:val="000000"/>
                <w:kern w:val="0"/>
                <w:sz w:val="11"/>
                <w:szCs w:val="11"/>
              </w:rPr>
              <w:t>妥布特罗-D9、喷布特罗-D9、克伦特罗</w:t>
            </w:r>
            <w:r>
              <w:rPr>
                <w:rFonts w:ascii="宋体" w:hAnsi="宋体" w:cs="宋体"/>
                <w:color w:val="000000"/>
                <w:kern w:val="0"/>
                <w:sz w:val="11"/>
                <w:szCs w:val="11"/>
              </w:rPr>
              <w:t>-D9</w:t>
            </w:r>
            <w:r>
              <w:rPr>
                <w:rFonts w:hint="eastAsia" w:ascii="宋体" w:hAnsi="宋体" w:cs="宋体"/>
                <w:color w:val="000000"/>
                <w:kern w:val="0"/>
                <w:sz w:val="11"/>
                <w:szCs w:val="11"/>
              </w:rPr>
              <w:t>）</w:t>
            </w:r>
          </w:p>
        </w:tc>
        <w:tc>
          <w:tcPr>
            <w:tcW w:w="1185" w:type="dxa"/>
            <w:tcBorders>
              <w:top w:val="nil"/>
              <w:left w:val="nil"/>
              <w:bottom w:val="single" w:color="auto" w:sz="4" w:space="0"/>
              <w:right w:val="single" w:color="auto" w:sz="4" w:space="0"/>
            </w:tcBorders>
            <w:noWrap/>
            <w:vAlign w:val="center"/>
          </w:tcPr>
          <w:p w14:paraId="3931C34B">
            <w:pPr>
              <w:widowControl/>
              <w:jc w:val="center"/>
              <w:rPr>
                <w:rFonts w:ascii="宋体" w:cs="宋体"/>
                <w:color w:val="000000"/>
                <w:kern w:val="0"/>
                <w:sz w:val="18"/>
                <w:szCs w:val="18"/>
              </w:rPr>
            </w:pPr>
          </w:p>
        </w:tc>
        <w:tc>
          <w:tcPr>
            <w:tcW w:w="2908" w:type="dxa"/>
            <w:tcBorders>
              <w:top w:val="nil"/>
              <w:left w:val="nil"/>
              <w:bottom w:val="single" w:color="auto" w:sz="4" w:space="0"/>
              <w:right w:val="single" w:color="auto" w:sz="4" w:space="0"/>
            </w:tcBorders>
            <w:noWrap w:val="0"/>
            <w:vAlign w:val="center"/>
          </w:tcPr>
          <w:p w14:paraId="43971C97">
            <w:pPr>
              <w:jc w:val="left"/>
              <w:rPr>
                <w:rFonts w:ascii="宋体" w:cs="宋体"/>
                <w:color w:val="000000"/>
                <w:kern w:val="0"/>
                <w:sz w:val="18"/>
                <w:szCs w:val="18"/>
              </w:rPr>
            </w:pPr>
            <w:r>
              <w:rPr>
                <w:rFonts w:hint="eastAsia"/>
                <w:color w:val="000000"/>
                <w:sz w:val="15"/>
                <w:szCs w:val="15"/>
              </w:rPr>
              <w:t>100mg/L于LC-MS级甲醇（折算成非盐形式的浓度），1ml/支</w:t>
            </w:r>
          </w:p>
        </w:tc>
        <w:tc>
          <w:tcPr>
            <w:tcW w:w="532" w:type="dxa"/>
            <w:tcBorders>
              <w:top w:val="nil"/>
              <w:left w:val="nil"/>
              <w:bottom w:val="single" w:color="auto" w:sz="4" w:space="0"/>
              <w:right w:val="single" w:color="auto" w:sz="4" w:space="0"/>
            </w:tcBorders>
            <w:noWrap/>
            <w:vAlign w:val="center"/>
          </w:tcPr>
          <w:p w14:paraId="72D613E2">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r>
      <w:tr w14:paraId="269F5902">
        <w:tblPrEx>
          <w:tblCellMar>
            <w:top w:w="0" w:type="dxa"/>
            <w:left w:w="108" w:type="dxa"/>
            <w:bottom w:w="0" w:type="dxa"/>
            <w:right w:w="108" w:type="dxa"/>
          </w:tblCellMar>
        </w:tblPrEx>
        <w:trPr>
          <w:trHeight w:val="135" w:hRule="atLeast"/>
          <w:jc w:val="center"/>
        </w:trPr>
        <w:tc>
          <w:tcPr>
            <w:tcW w:w="1235" w:type="dxa"/>
            <w:vMerge w:val="continue"/>
            <w:tcBorders>
              <w:left w:val="single" w:color="auto" w:sz="4" w:space="0"/>
              <w:right w:val="single" w:color="auto" w:sz="4" w:space="0"/>
            </w:tcBorders>
            <w:noWrap/>
            <w:vAlign w:val="center"/>
          </w:tcPr>
          <w:p w14:paraId="0E4EF600">
            <w:pPr>
              <w:jc w:val="center"/>
              <w:rPr>
                <w:rFonts w:ascii="宋体" w:hAnsi="宋体" w:cs="宋体"/>
                <w:color w:val="000000"/>
                <w:kern w:val="0"/>
                <w:sz w:val="18"/>
                <w:szCs w:val="18"/>
              </w:rPr>
            </w:pPr>
          </w:p>
        </w:tc>
        <w:tc>
          <w:tcPr>
            <w:tcW w:w="3969" w:type="dxa"/>
            <w:tcBorders>
              <w:top w:val="nil"/>
              <w:left w:val="single" w:color="auto" w:sz="4" w:space="0"/>
              <w:bottom w:val="single" w:color="auto" w:sz="4" w:space="0"/>
              <w:right w:val="single" w:color="auto" w:sz="4" w:space="0"/>
            </w:tcBorders>
            <w:noWrap/>
            <w:vAlign w:val="center"/>
          </w:tcPr>
          <w:p w14:paraId="1BC569A2">
            <w:pPr>
              <w:widowControl/>
              <w:jc w:val="left"/>
              <w:rPr>
                <w:rFonts w:ascii="宋体" w:hAnsi="宋体" w:cs="宋体"/>
                <w:color w:val="000000"/>
                <w:kern w:val="0"/>
                <w:szCs w:val="21"/>
              </w:rPr>
            </w:pPr>
            <w:r>
              <w:rPr>
                <w:rFonts w:hint="eastAsia" w:ascii="宋体" w:hAnsi="宋体" w:cs="宋体"/>
                <w:color w:val="000000"/>
                <w:kern w:val="0"/>
                <w:sz w:val="18"/>
                <w:szCs w:val="18"/>
              </w:rPr>
              <w:t>5种磺胺药物混标</w:t>
            </w:r>
            <w:r>
              <w:rPr>
                <w:rFonts w:hint="eastAsia" w:ascii="宋体" w:hAnsi="宋体" w:cs="宋体"/>
                <w:color w:val="000000"/>
                <w:kern w:val="0"/>
                <w:sz w:val="11"/>
                <w:szCs w:val="11"/>
              </w:rPr>
              <w:t>（</w:t>
            </w:r>
            <w:r>
              <w:rPr>
                <w:color w:val="000000"/>
                <w:sz w:val="11"/>
                <w:szCs w:val="11"/>
              </w:rPr>
              <w:t>磺胺二甲嘧啶、磺胺间甲氧嘧啶、磺胺甲噁唑、磺胺二甲氧嘧啶、磺胺喹噁啉</w:t>
            </w:r>
            <w:r>
              <w:rPr>
                <w:rFonts w:hint="eastAsia" w:ascii="宋体" w:hAnsi="宋体" w:cs="宋体"/>
                <w:color w:val="000000"/>
                <w:kern w:val="0"/>
                <w:sz w:val="11"/>
                <w:szCs w:val="11"/>
              </w:rPr>
              <w:t>）</w:t>
            </w:r>
          </w:p>
        </w:tc>
        <w:tc>
          <w:tcPr>
            <w:tcW w:w="1185" w:type="dxa"/>
            <w:tcBorders>
              <w:top w:val="nil"/>
              <w:left w:val="nil"/>
              <w:bottom w:val="single" w:color="auto" w:sz="4" w:space="0"/>
              <w:right w:val="single" w:color="auto" w:sz="4" w:space="0"/>
            </w:tcBorders>
            <w:noWrap/>
            <w:vAlign w:val="center"/>
          </w:tcPr>
          <w:p w14:paraId="098B6739">
            <w:pPr>
              <w:widowControl/>
              <w:jc w:val="center"/>
              <w:rPr>
                <w:color w:val="000000"/>
                <w:sz w:val="15"/>
                <w:szCs w:val="15"/>
              </w:rPr>
            </w:pPr>
          </w:p>
        </w:tc>
        <w:tc>
          <w:tcPr>
            <w:tcW w:w="2908" w:type="dxa"/>
            <w:tcBorders>
              <w:top w:val="nil"/>
              <w:left w:val="nil"/>
              <w:bottom w:val="single" w:color="auto" w:sz="4" w:space="0"/>
              <w:right w:val="single" w:color="auto" w:sz="4" w:space="0"/>
            </w:tcBorders>
            <w:noWrap w:val="0"/>
            <w:vAlign w:val="center"/>
          </w:tcPr>
          <w:p w14:paraId="261F5E31">
            <w:pPr>
              <w:widowControl/>
              <w:jc w:val="left"/>
              <w:rPr>
                <w:color w:val="000000"/>
                <w:sz w:val="15"/>
                <w:szCs w:val="15"/>
              </w:rPr>
            </w:pPr>
            <w:r>
              <w:rPr>
                <w:rFonts w:hint="eastAsia"/>
                <w:color w:val="000000"/>
                <w:sz w:val="15"/>
                <w:szCs w:val="15"/>
              </w:rPr>
              <w:t>100mg/L于LC-MS级甲醇，1ml</w:t>
            </w:r>
            <w:r>
              <w:rPr>
                <w:color w:val="000000"/>
                <w:sz w:val="15"/>
                <w:szCs w:val="15"/>
              </w:rPr>
              <w:t>/</w:t>
            </w:r>
            <w:r>
              <w:rPr>
                <w:rFonts w:hint="eastAsia"/>
                <w:color w:val="000000"/>
                <w:sz w:val="15"/>
                <w:szCs w:val="15"/>
              </w:rPr>
              <w:t>支</w:t>
            </w:r>
          </w:p>
        </w:tc>
        <w:tc>
          <w:tcPr>
            <w:tcW w:w="532" w:type="dxa"/>
            <w:tcBorders>
              <w:top w:val="nil"/>
              <w:left w:val="nil"/>
              <w:bottom w:val="single" w:color="auto" w:sz="4" w:space="0"/>
              <w:right w:val="single" w:color="auto" w:sz="4" w:space="0"/>
            </w:tcBorders>
            <w:noWrap/>
            <w:vAlign w:val="center"/>
          </w:tcPr>
          <w:p w14:paraId="2E9E8BAF">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r>
      <w:tr w14:paraId="6E38B963">
        <w:tblPrEx>
          <w:tblCellMar>
            <w:top w:w="0" w:type="dxa"/>
            <w:left w:w="108" w:type="dxa"/>
            <w:bottom w:w="0" w:type="dxa"/>
            <w:right w:w="108" w:type="dxa"/>
          </w:tblCellMar>
        </w:tblPrEx>
        <w:trPr>
          <w:trHeight w:val="90" w:hRule="atLeast"/>
          <w:jc w:val="center"/>
        </w:trPr>
        <w:tc>
          <w:tcPr>
            <w:tcW w:w="1235" w:type="dxa"/>
            <w:vMerge w:val="continue"/>
            <w:tcBorders>
              <w:left w:val="single" w:color="auto" w:sz="4" w:space="0"/>
              <w:right w:val="single" w:color="auto" w:sz="4" w:space="0"/>
            </w:tcBorders>
            <w:noWrap/>
            <w:vAlign w:val="center"/>
          </w:tcPr>
          <w:p w14:paraId="75D72598">
            <w:pPr>
              <w:jc w:val="center"/>
              <w:rPr>
                <w:rFonts w:ascii="宋体" w:hAnsi="宋体" w:cs="宋体"/>
                <w:color w:val="000000"/>
                <w:kern w:val="0"/>
                <w:sz w:val="18"/>
                <w:szCs w:val="18"/>
              </w:rPr>
            </w:pPr>
          </w:p>
        </w:tc>
        <w:tc>
          <w:tcPr>
            <w:tcW w:w="3969" w:type="dxa"/>
            <w:tcBorders>
              <w:top w:val="nil"/>
              <w:left w:val="single" w:color="auto" w:sz="4" w:space="0"/>
              <w:bottom w:val="single" w:color="auto" w:sz="4" w:space="0"/>
              <w:right w:val="single" w:color="auto" w:sz="4" w:space="0"/>
            </w:tcBorders>
            <w:noWrap/>
            <w:vAlign w:val="center"/>
          </w:tcPr>
          <w:p w14:paraId="03AB0F66">
            <w:pPr>
              <w:widowControl/>
              <w:jc w:val="left"/>
              <w:rPr>
                <w:rFonts w:ascii="宋体" w:hAnsi="宋体" w:cs="宋体"/>
                <w:color w:val="000000"/>
                <w:kern w:val="0"/>
                <w:sz w:val="18"/>
                <w:szCs w:val="18"/>
              </w:rPr>
            </w:pPr>
            <w:r>
              <w:rPr>
                <w:rFonts w:hint="eastAsia" w:ascii="宋体" w:hAnsi="宋体" w:cs="宋体"/>
                <w:color w:val="000000"/>
                <w:kern w:val="0"/>
                <w:sz w:val="18"/>
                <w:szCs w:val="18"/>
              </w:rPr>
              <w:t>5种磺胺药物内标混标</w:t>
            </w:r>
            <w:r>
              <w:rPr>
                <w:rFonts w:hint="eastAsia" w:ascii="宋体" w:hAnsi="宋体" w:cs="宋体"/>
                <w:color w:val="000000"/>
                <w:kern w:val="0"/>
                <w:sz w:val="11"/>
                <w:szCs w:val="11"/>
              </w:rPr>
              <w:t>（</w:t>
            </w:r>
            <w:r>
              <w:rPr>
                <w:rFonts w:hint="eastAsia"/>
                <w:color w:val="000000"/>
                <w:sz w:val="11"/>
                <w:szCs w:val="11"/>
              </w:rPr>
              <w:t>磺胺间二甲氧嘧啶</w:t>
            </w:r>
            <w:r>
              <w:rPr>
                <w:color w:val="000000"/>
                <w:sz w:val="11"/>
                <w:szCs w:val="11"/>
              </w:rPr>
              <w:t>-D6  、</w:t>
            </w:r>
            <w:r>
              <w:rPr>
                <w:rFonts w:hint="eastAsia"/>
                <w:color w:val="000000"/>
                <w:sz w:val="11"/>
                <w:szCs w:val="11"/>
              </w:rPr>
              <w:t>磺胺间甲氧嘧啶</w:t>
            </w:r>
            <w:r>
              <w:rPr>
                <w:color w:val="000000"/>
                <w:sz w:val="11"/>
                <w:szCs w:val="11"/>
              </w:rPr>
              <w:t>-</w:t>
            </w:r>
            <w:r>
              <w:rPr>
                <w:rFonts w:hint="eastAsia"/>
                <w:color w:val="000000"/>
                <w:sz w:val="11"/>
                <w:szCs w:val="11"/>
              </w:rPr>
              <w:t>13C6</w:t>
            </w:r>
            <w:r>
              <w:rPr>
                <w:color w:val="000000"/>
                <w:sz w:val="11"/>
                <w:szCs w:val="11"/>
              </w:rPr>
              <w:t>、磺胺甲噁唑-D</w:t>
            </w:r>
            <w:r>
              <w:rPr>
                <w:rFonts w:hint="eastAsia"/>
                <w:color w:val="000000"/>
                <w:sz w:val="11"/>
                <w:szCs w:val="11"/>
              </w:rPr>
              <w:t>4</w:t>
            </w:r>
            <w:r>
              <w:rPr>
                <w:color w:val="000000"/>
                <w:sz w:val="11"/>
                <w:szCs w:val="11"/>
              </w:rPr>
              <w:t>、</w:t>
            </w:r>
            <w:r>
              <w:rPr>
                <w:rFonts w:hint="eastAsia"/>
                <w:color w:val="000000"/>
                <w:sz w:val="11"/>
                <w:szCs w:val="11"/>
              </w:rPr>
              <w:t>磺胺二甲嘧啶</w:t>
            </w:r>
            <w:r>
              <w:rPr>
                <w:color w:val="000000"/>
                <w:sz w:val="11"/>
                <w:szCs w:val="11"/>
              </w:rPr>
              <w:t xml:space="preserve">-13C6 </w:t>
            </w:r>
            <w:r>
              <w:rPr>
                <w:rFonts w:hint="eastAsia"/>
                <w:color w:val="000000"/>
                <w:sz w:val="11"/>
                <w:szCs w:val="11"/>
              </w:rPr>
              <w:t>半水合物</w:t>
            </w:r>
            <w:r>
              <w:rPr>
                <w:color w:val="000000"/>
                <w:sz w:val="11"/>
                <w:szCs w:val="11"/>
              </w:rPr>
              <w:t>、</w:t>
            </w:r>
            <w:r>
              <w:rPr>
                <w:rFonts w:hint="eastAsia"/>
                <w:color w:val="000000"/>
                <w:sz w:val="11"/>
                <w:szCs w:val="11"/>
              </w:rPr>
              <w:t>磺胺喹噁啉</w:t>
            </w:r>
            <w:r>
              <w:rPr>
                <w:color w:val="000000"/>
                <w:sz w:val="11"/>
                <w:szCs w:val="11"/>
              </w:rPr>
              <w:t>-13C6</w:t>
            </w:r>
            <w:r>
              <w:rPr>
                <w:rFonts w:hint="eastAsia" w:ascii="宋体" w:hAnsi="宋体" w:cs="宋体"/>
                <w:color w:val="000000"/>
                <w:kern w:val="0"/>
                <w:sz w:val="11"/>
                <w:szCs w:val="11"/>
              </w:rPr>
              <w:t>）</w:t>
            </w:r>
          </w:p>
        </w:tc>
        <w:tc>
          <w:tcPr>
            <w:tcW w:w="1185" w:type="dxa"/>
            <w:tcBorders>
              <w:top w:val="nil"/>
              <w:left w:val="nil"/>
              <w:bottom w:val="single" w:color="auto" w:sz="4" w:space="0"/>
              <w:right w:val="single" w:color="auto" w:sz="4" w:space="0"/>
            </w:tcBorders>
            <w:noWrap/>
            <w:vAlign w:val="center"/>
          </w:tcPr>
          <w:p w14:paraId="487D08CE">
            <w:pPr>
              <w:widowControl/>
              <w:jc w:val="center"/>
              <w:rPr>
                <w:color w:val="000000"/>
                <w:sz w:val="15"/>
                <w:szCs w:val="15"/>
              </w:rPr>
            </w:pPr>
          </w:p>
        </w:tc>
        <w:tc>
          <w:tcPr>
            <w:tcW w:w="2908" w:type="dxa"/>
            <w:tcBorders>
              <w:top w:val="nil"/>
              <w:left w:val="nil"/>
              <w:bottom w:val="single" w:color="auto" w:sz="4" w:space="0"/>
              <w:right w:val="single" w:color="auto" w:sz="4" w:space="0"/>
            </w:tcBorders>
            <w:noWrap w:val="0"/>
            <w:vAlign w:val="center"/>
          </w:tcPr>
          <w:p w14:paraId="5731F4D7">
            <w:pPr>
              <w:widowControl/>
              <w:jc w:val="left"/>
              <w:rPr>
                <w:color w:val="000000"/>
                <w:sz w:val="15"/>
                <w:szCs w:val="15"/>
              </w:rPr>
            </w:pPr>
            <w:r>
              <w:rPr>
                <w:rFonts w:hint="eastAsia"/>
                <w:color w:val="000000"/>
                <w:sz w:val="15"/>
                <w:szCs w:val="15"/>
              </w:rPr>
              <w:t>100mg/L于LC-MS级甲醇，1ml</w:t>
            </w:r>
            <w:r>
              <w:rPr>
                <w:color w:val="000000"/>
                <w:sz w:val="15"/>
                <w:szCs w:val="15"/>
              </w:rPr>
              <w:t>/</w:t>
            </w:r>
            <w:r>
              <w:rPr>
                <w:rFonts w:hint="eastAsia"/>
                <w:color w:val="000000"/>
                <w:sz w:val="15"/>
                <w:szCs w:val="15"/>
              </w:rPr>
              <w:t>支</w:t>
            </w:r>
          </w:p>
        </w:tc>
        <w:tc>
          <w:tcPr>
            <w:tcW w:w="532" w:type="dxa"/>
            <w:tcBorders>
              <w:top w:val="nil"/>
              <w:left w:val="nil"/>
              <w:bottom w:val="single" w:color="auto" w:sz="4" w:space="0"/>
              <w:right w:val="single" w:color="auto" w:sz="4" w:space="0"/>
            </w:tcBorders>
            <w:noWrap/>
            <w:vAlign w:val="center"/>
          </w:tcPr>
          <w:p w14:paraId="62FE742B">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r>
      <w:tr w14:paraId="6A678B7E">
        <w:tblPrEx>
          <w:tblCellMar>
            <w:top w:w="0" w:type="dxa"/>
            <w:left w:w="108" w:type="dxa"/>
            <w:bottom w:w="0" w:type="dxa"/>
            <w:right w:w="108" w:type="dxa"/>
          </w:tblCellMar>
        </w:tblPrEx>
        <w:trPr>
          <w:trHeight w:val="191" w:hRule="atLeast"/>
          <w:jc w:val="center"/>
        </w:trPr>
        <w:tc>
          <w:tcPr>
            <w:tcW w:w="1235" w:type="dxa"/>
            <w:vMerge w:val="continue"/>
            <w:tcBorders>
              <w:left w:val="single" w:color="auto" w:sz="4" w:space="0"/>
              <w:right w:val="single" w:color="auto" w:sz="4" w:space="0"/>
            </w:tcBorders>
            <w:noWrap/>
            <w:vAlign w:val="center"/>
          </w:tcPr>
          <w:p w14:paraId="6E1DC96D">
            <w:pPr>
              <w:jc w:val="center"/>
              <w:rPr>
                <w:rFonts w:ascii="宋体" w:hAnsi="宋体" w:cs="宋体"/>
                <w:color w:val="000000"/>
                <w:kern w:val="0"/>
                <w:sz w:val="18"/>
                <w:szCs w:val="18"/>
              </w:rPr>
            </w:pPr>
          </w:p>
        </w:tc>
        <w:tc>
          <w:tcPr>
            <w:tcW w:w="3969" w:type="dxa"/>
            <w:tcBorders>
              <w:top w:val="nil"/>
              <w:left w:val="single" w:color="auto" w:sz="4" w:space="0"/>
              <w:bottom w:val="single" w:color="auto" w:sz="4" w:space="0"/>
              <w:right w:val="single" w:color="auto" w:sz="4" w:space="0"/>
            </w:tcBorders>
            <w:noWrap/>
            <w:vAlign w:val="center"/>
          </w:tcPr>
          <w:p w14:paraId="20C6CEF3">
            <w:pPr>
              <w:widowControl/>
              <w:jc w:val="left"/>
              <w:rPr>
                <w:rFonts w:ascii="宋体" w:hAnsi="宋体" w:cs="宋体"/>
                <w:color w:val="000000"/>
                <w:kern w:val="0"/>
                <w:szCs w:val="21"/>
              </w:rPr>
            </w:pPr>
            <w:r>
              <w:rPr>
                <w:rFonts w:hint="eastAsia" w:ascii="宋体" w:hAnsi="宋体" w:cs="宋体"/>
                <w:color w:val="000000"/>
                <w:kern w:val="0"/>
                <w:sz w:val="18"/>
                <w:szCs w:val="18"/>
              </w:rPr>
              <w:t>8种喹诺酮药物混标</w:t>
            </w:r>
            <w:r>
              <w:rPr>
                <w:rFonts w:hint="eastAsia" w:ascii="宋体" w:hAnsi="宋体" w:cs="宋体"/>
                <w:color w:val="000000"/>
                <w:kern w:val="0"/>
                <w:sz w:val="11"/>
                <w:szCs w:val="11"/>
              </w:rPr>
              <w:t>（</w:t>
            </w:r>
            <w:r>
              <w:rPr>
                <w:color w:val="000000"/>
                <w:sz w:val="11"/>
                <w:szCs w:val="11"/>
              </w:rPr>
              <w:t>达氟沙星、恩诺沙星、环丙沙星、培氟沙星</w:t>
            </w:r>
            <w:r>
              <w:rPr>
                <w:rFonts w:hint="eastAsia"/>
                <w:color w:val="000000"/>
                <w:sz w:val="11"/>
                <w:szCs w:val="11"/>
              </w:rPr>
              <w:t>、</w:t>
            </w:r>
            <w:r>
              <w:rPr>
                <w:color w:val="000000"/>
                <w:sz w:val="11"/>
                <w:szCs w:val="11"/>
              </w:rPr>
              <w:t>氧氟沙星、诺氟沙星、洛美沙星、</w:t>
            </w:r>
            <w:r>
              <w:rPr>
                <w:rFonts w:hint="eastAsia"/>
                <w:color w:val="000000"/>
                <w:sz w:val="11"/>
                <w:szCs w:val="11"/>
              </w:rPr>
              <w:t>沙拉沙星</w:t>
            </w:r>
            <w:r>
              <w:rPr>
                <w:rFonts w:hint="eastAsia" w:ascii="宋体" w:hAnsi="宋体" w:cs="宋体"/>
                <w:color w:val="000000"/>
                <w:kern w:val="0"/>
                <w:sz w:val="11"/>
                <w:szCs w:val="11"/>
              </w:rPr>
              <w:t>）</w:t>
            </w:r>
          </w:p>
        </w:tc>
        <w:tc>
          <w:tcPr>
            <w:tcW w:w="1185" w:type="dxa"/>
            <w:tcBorders>
              <w:top w:val="nil"/>
              <w:left w:val="nil"/>
              <w:bottom w:val="single" w:color="auto" w:sz="4" w:space="0"/>
              <w:right w:val="single" w:color="auto" w:sz="4" w:space="0"/>
            </w:tcBorders>
            <w:noWrap/>
            <w:vAlign w:val="center"/>
          </w:tcPr>
          <w:p w14:paraId="0E84F120">
            <w:pPr>
              <w:widowControl/>
              <w:jc w:val="center"/>
              <w:rPr>
                <w:color w:val="000000"/>
                <w:sz w:val="15"/>
                <w:szCs w:val="15"/>
              </w:rPr>
            </w:pPr>
          </w:p>
        </w:tc>
        <w:tc>
          <w:tcPr>
            <w:tcW w:w="2908" w:type="dxa"/>
            <w:tcBorders>
              <w:top w:val="nil"/>
              <w:left w:val="nil"/>
              <w:bottom w:val="single" w:color="auto" w:sz="4" w:space="0"/>
              <w:right w:val="single" w:color="auto" w:sz="4" w:space="0"/>
            </w:tcBorders>
            <w:noWrap w:val="0"/>
            <w:vAlign w:val="center"/>
          </w:tcPr>
          <w:p w14:paraId="1885DBF7">
            <w:pPr>
              <w:widowControl/>
              <w:jc w:val="left"/>
              <w:rPr>
                <w:color w:val="000000"/>
                <w:sz w:val="15"/>
                <w:szCs w:val="15"/>
              </w:rPr>
            </w:pPr>
            <w:r>
              <w:rPr>
                <w:rFonts w:hint="eastAsia"/>
                <w:color w:val="000000"/>
                <w:sz w:val="15"/>
                <w:szCs w:val="15"/>
              </w:rPr>
              <w:t>100mg/L于LC-MS级甲醇（折算成非盐形式的浓度），1ml</w:t>
            </w:r>
            <w:r>
              <w:rPr>
                <w:color w:val="000000"/>
                <w:sz w:val="15"/>
                <w:szCs w:val="15"/>
              </w:rPr>
              <w:t>/</w:t>
            </w:r>
            <w:r>
              <w:rPr>
                <w:rFonts w:hint="eastAsia"/>
                <w:color w:val="000000"/>
                <w:sz w:val="15"/>
                <w:szCs w:val="15"/>
              </w:rPr>
              <w:t>支</w:t>
            </w:r>
          </w:p>
        </w:tc>
        <w:tc>
          <w:tcPr>
            <w:tcW w:w="532" w:type="dxa"/>
            <w:tcBorders>
              <w:top w:val="nil"/>
              <w:left w:val="nil"/>
              <w:bottom w:val="single" w:color="auto" w:sz="4" w:space="0"/>
              <w:right w:val="single" w:color="auto" w:sz="4" w:space="0"/>
            </w:tcBorders>
            <w:noWrap/>
            <w:vAlign w:val="center"/>
          </w:tcPr>
          <w:p w14:paraId="59DA98BD">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r>
      <w:tr w14:paraId="666E12B9">
        <w:tblPrEx>
          <w:tblCellMar>
            <w:top w:w="0" w:type="dxa"/>
            <w:left w:w="108" w:type="dxa"/>
            <w:bottom w:w="0" w:type="dxa"/>
            <w:right w:w="108" w:type="dxa"/>
          </w:tblCellMar>
        </w:tblPrEx>
        <w:trPr>
          <w:trHeight w:val="768" w:hRule="atLeast"/>
          <w:jc w:val="center"/>
        </w:trPr>
        <w:tc>
          <w:tcPr>
            <w:tcW w:w="1235" w:type="dxa"/>
            <w:vMerge w:val="continue"/>
            <w:tcBorders>
              <w:left w:val="single" w:color="auto" w:sz="4" w:space="0"/>
              <w:right w:val="single" w:color="auto" w:sz="4" w:space="0"/>
            </w:tcBorders>
            <w:noWrap/>
            <w:vAlign w:val="center"/>
          </w:tcPr>
          <w:p w14:paraId="755E1162">
            <w:pPr>
              <w:jc w:val="center"/>
              <w:rPr>
                <w:rFonts w:ascii="宋体" w:hAnsi="宋体" w:cs="宋体"/>
                <w:color w:val="000000"/>
                <w:kern w:val="0"/>
                <w:sz w:val="18"/>
                <w:szCs w:val="18"/>
              </w:rPr>
            </w:pPr>
          </w:p>
        </w:tc>
        <w:tc>
          <w:tcPr>
            <w:tcW w:w="3969" w:type="dxa"/>
            <w:tcBorders>
              <w:top w:val="nil"/>
              <w:left w:val="single" w:color="auto" w:sz="4" w:space="0"/>
              <w:bottom w:val="single" w:color="auto" w:sz="4" w:space="0"/>
              <w:right w:val="single" w:color="auto" w:sz="4" w:space="0"/>
            </w:tcBorders>
            <w:noWrap/>
            <w:vAlign w:val="center"/>
          </w:tcPr>
          <w:p w14:paraId="218D98D5">
            <w:pPr>
              <w:widowControl/>
              <w:jc w:val="left"/>
              <w:rPr>
                <w:rFonts w:ascii="宋体" w:hAnsi="宋体" w:cs="宋体"/>
                <w:color w:val="000000"/>
                <w:kern w:val="0"/>
                <w:sz w:val="18"/>
                <w:szCs w:val="18"/>
              </w:rPr>
            </w:pPr>
            <w:r>
              <w:rPr>
                <w:rFonts w:hint="eastAsia" w:ascii="宋体" w:hAnsi="宋体" w:cs="宋体"/>
                <w:color w:val="000000"/>
                <w:kern w:val="0"/>
                <w:sz w:val="18"/>
                <w:szCs w:val="18"/>
              </w:rPr>
              <w:t>8种喹诺酮药物混标</w:t>
            </w:r>
            <w:r>
              <w:rPr>
                <w:rFonts w:hint="eastAsia" w:ascii="宋体" w:hAnsi="宋体" w:cs="宋体"/>
                <w:color w:val="000000"/>
                <w:kern w:val="0"/>
                <w:sz w:val="11"/>
                <w:szCs w:val="11"/>
              </w:rPr>
              <w:t>（达氟沙星</w:t>
            </w:r>
            <w:r>
              <w:rPr>
                <w:rFonts w:ascii="宋体" w:hAnsi="宋体" w:cs="宋体"/>
                <w:color w:val="000000"/>
                <w:kern w:val="0"/>
                <w:sz w:val="11"/>
                <w:szCs w:val="11"/>
              </w:rPr>
              <w:t>-D3、</w:t>
            </w:r>
            <w:r>
              <w:rPr>
                <w:rFonts w:hint="eastAsia" w:ascii="宋体" w:hAnsi="宋体" w:cs="宋体"/>
                <w:color w:val="000000"/>
                <w:kern w:val="0"/>
                <w:sz w:val="11"/>
                <w:szCs w:val="11"/>
              </w:rPr>
              <w:t>盐酸恩诺沙星</w:t>
            </w:r>
            <w:r>
              <w:rPr>
                <w:rFonts w:ascii="宋体" w:hAnsi="宋体" w:cs="宋体"/>
                <w:color w:val="000000"/>
                <w:kern w:val="0"/>
                <w:sz w:val="11"/>
                <w:szCs w:val="11"/>
              </w:rPr>
              <w:t>-D5、</w:t>
            </w:r>
            <w:r>
              <w:rPr>
                <w:rFonts w:hint="eastAsia" w:ascii="宋体" w:hAnsi="宋体" w:cs="宋体"/>
                <w:color w:val="000000"/>
                <w:kern w:val="0"/>
                <w:sz w:val="11"/>
                <w:szCs w:val="11"/>
              </w:rPr>
              <w:t>环丙沙星</w:t>
            </w:r>
            <w:r>
              <w:rPr>
                <w:rFonts w:ascii="宋体" w:hAnsi="宋体" w:cs="宋体"/>
                <w:color w:val="000000"/>
                <w:kern w:val="0"/>
                <w:sz w:val="11"/>
                <w:szCs w:val="11"/>
              </w:rPr>
              <w:t>-D8、</w:t>
            </w:r>
            <w:r>
              <w:rPr>
                <w:rFonts w:hint="eastAsia" w:ascii="宋体" w:hAnsi="宋体" w:cs="宋体"/>
                <w:color w:val="000000"/>
                <w:kern w:val="0"/>
                <w:sz w:val="11"/>
                <w:szCs w:val="11"/>
              </w:rPr>
              <w:t>培氟沙星</w:t>
            </w:r>
            <w:r>
              <w:rPr>
                <w:rFonts w:ascii="宋体" w:hAnsi="宋体" w:cs="宋体"/>
                <w:color w:val="000000"/>
                <w:kern w:val="0"/>
                <w:sz w:val="11"/>
                <w:szCs w:val="11"/>
              </w:rPr>
              <w:t>-D5</w:t>
            </w:r>
            <w:r>
              <w:rPr>
                <w:rFonts w:hint="eastAsia" w:ascii="宋体" w:hAnsi="宋体" w:cs="宋体"/>
                <w:color w:val="000000"/>
                <w:kern w:val="0"/>
                <w:sz w:val="11"/>
                <w:szCs w:val="11"/>
              </w:rPr>
              <w:t>、氧氟沙星</w:t>
            </w:r>
            <w:r>
              <w:rPr>
                <w:rFonts w:ascii="宋体" w:hAnsi="宋体" w:cs="宋体"/>
                <w:color w:val="000000"/>
                <w:kern w:val="0"/>
                <w:sz w:val="11"/>
                <w:szCs w:val="11"/>
              </w:rPr>
              <w:t>-D3、</w:t>
            </w:r>
            <w:r>
              <w:rPr>
                <w:rFonts w:hint="eastAsia" w:ascii="宋体" w:hAnsi="宋体" w:cs="宋体"/>
                <w:color w:val="000000"/>
                <w:kern w:val="0"/>
                <w:sz w:val="11"/>
                <w:szCs w:val="11"/>
              </w:rPr>
              <w:t>诺氟沙星</w:t>
            </w:r>
            <w:r>
              <w:rPr>
                <w:rFonts w:ascii="宋体" w:hAnsi="宋体" w:cs="宋体"/>
                <w:color w:val="000000"/>
                <w:kern w:val="0"/>
                <w:sz w:val="11"/>
                <w:szCs w:val="11"/>
              </w:rPr>
              <w:t>-D5、</w:t>
            </w:r>
            <w:r>
              <w:rPr>
                <w:rFonts w:hint="eastAsia" w:ascii="宋体" w:hAnsi="宋体" w:cs="宋体"/>
                <w:color w:val="000000"/>
                <w:kern w:val="0"/>
                <w:sz w:val="11"/>
                <w:szCs w:val="11"/>
              </w:rPr>
              <w:t>洛美沙星</w:t>
            </w:r>
            <w:r>
              <w:rPr>
                <w:rFonts w:ascii="宋体" w:hAnsi="宋体" w:cs="宋体"/>
                <w:color w:val="000000"/>
                <w:kern w:val="0"/>
                <w:sz w:val="11"/>
                <w:szCs w:val="11"/>
              </w:rPr>
              <w:t>-D5、</w:t>
            </w:r>
            <w:r>
              <w:rPr>
                <w:rFonts w:hint="eastAsia" w:ascii="宋体" w:hAnsi="宋体" w:cs="宋体"/>
                <w:color w:val="000000"/>
                <w:kern w:val="0"/>
                <w:sz w:val="11"/>
                <w:szCs w:val="11"/>
              </w:rPr>
              <w:t>沙拉沙星-D8）</w:t>
            </w:r>
          </w:p>
        </w:tc>
        <w:tc>
          <w:tcPr>
            <w:tcW w:w="1185" w:type="dxa"/>
            <w:tcBorders>
              <w:top w:val="nil"/>
              <w:left w:val="nil"/>
              <w:bottom w:val="single" w:color="auto" w:sz="4" w:space="0"/>
              <w:right w:val="single" w:color="auto" w:sz="4" w:space="0"/>
            </w:tcBorders>
            <w:noWrap/>
            <w:vAlign w:val="center"/>
          </w:tcPr>
          <w:p w14:paraId="093892A2">
            <w:pPr>
              <w:widowControl/>
              <w:jc w:val="center"/>
              <w:rPr>
                <w:color w:val="000000"/>
                <w:sz w:val="15"/>
                <w:szCs w:val="15"/>
              </w:rPr>
            </w:pPr>
          </w:p>
        </w:tc>
        <w:tc>
          <w:tcPr>
            <w:tcW w:w="2908" w:type="dxa"/>
            <w:tcBorders>
              <w:top w:val="nil"/>
              <w:left w:val="nil"/>
              <w:bottom w:val="single" w:color="auto" w:sz="4" w:space="0"/>
              <w:right w:val="single" w:color="auto" w:sz="4" w:space="0"/>
            </w:tcBorders>
            <w:noWrap w:val="0"/>
            <w:vAlign w:val="center"/>
          </w:tcPr>
          <w:p w14:paraId="4625E88F">
            <w:pPr>
              <w:widowControl/>
              <w:jc w:val="left"/>
              <w:rPr>
                <w:color w:val="000000"/>
                <w:sz w:val="15"/>
                <w:szCs w:val="15"/>
              </w:rPr>
            </w:pPr>
            <w:r>
              <w:rPr>
                <w:rFonts w:hint="eastAsia"/>
                <w:color w:val="000000"/>
                <w:sz w:val="15"/>
                <w:szCs w:val="15"/>
              </w:rPr>
              <w:t>100mg/L于LC-MS级甲醇（折算成非盐形式的浓度），1ml</w:t>
            </w:r>
            <w:r>
              <w:rPr>
                <w:color w:val="000000"/>
                <w:sz w:val="15"/>
                <w:szCs w:val="15"/>
              </w:rPr>
              <w:t>/</w:t>
            </w:r>
            <w:r>
              <w:rPr>
                <w:rFonts w:hint="eastAsia"/>
                <w:color w:val="000000"/>
                <w:sz w:val="15"/>
                <w:szCs w:val="15"/>
              </w:rPr>
              <w:t>支</w:t>
            </w:r>
          </w:p>
        </w:tc>
        <w:tc>
          <w:tcPr>
            <w:tcW w:w="532" w:type="dxa"/>
            <w:tcBorders>
              <w:top w:val="nil"/>
              <w:left w:val="nil"/>
              <w:bottom w:val="single" w:color="auto" w:sz="4" w:space="0"/>
              <w:right w:val="single" w:color="auto" w:sz="4" w:space="0"/>
            </w:tcBorders>
            <w:noWrap/>
            <w:vAlign w:val="center"/>
          </w:tcPr>
          <w:p w14:paraId="7CBA2BA1">
            <w:pPr>
              <w:widowControl/>
              <w:jc w:val="center"/>
              <w:rPr>
                <w:rFonts w:ascii="宋体" w:hAnsi="宋体" w:cs="宋体"/>
                <w:color w:val="000000"/>
                <w:kern w:val="0"/>
                <w:sz w:val="18"/>
                <w:szCs w:val="18"/>
              </w:rPr>
            </w:pPr>
            <w:r>
              <w:rPr>
                <w:rFonts w:ascii="宋体" w:hAnsi="宋体" w:cs="宋体"/>
                <w:color w:val="000000"/>
                <w:kern w:val="0"/>
                <w:sz w:val="18"/>
                <w:szCs w:val="18"/>
              </w:rPr>
              <w:t>支</w:t>
            </w:r>
          </w:p>
        </w:tc>
      </w:tr>
      <w:tr w14:paraId="458AFB3D">
        <w:tblPrEx>
          <w:tblCellMar>
            <w:top w:w="0" w:type="dxa"/>
            <w:left w:w="108" w:type="dxa"/>
            <w:bottom w:w="0" w:type="dxa"/>
            <w:right w:w="108" w:type="dxa"/>
          </w:tblCellMar>
        </w:tblPrEx>
        <w:trPr>
          <w:trHeight w:val="276" w:hRule="atLeast"/>
          <w:jc w:val="center"/>
        </w:trPr>
        <w:tc>
          <w:tcPr>
            <w:tcW w:w="1235" w:type="dxa"/>
            <w:vMerge w:val="continue"/>
            <w:tcBorders>
              <w:left w:val="single" w:color="auto" w:sz="4" w:space="0"/>
              <w:right w:val="single" w:color="auto" w:sz="4" w:space="0"/>
            </w:tcBorders>
            <w:noWrap/>
            <w:vAlign w:val="center"/>
          </w:tcPr>
          <w:p w14:paraId="4DE06861">
            <w:pPr>
              <w:jc w:val="center"/>
              <w:rPr>
                <w:rFonts w:ascii="宋体" w:hAnsi="宋体" w:cs="宋体"/>
                <w:color w:val="000000"/>
                <w:kern w:val="0"/>
                <w:sz w:val="18"/>
                <w:szCs w:val="18"/>
              </w:rPr>
            </w:pPr>
          </w:p>
        </w:tc>
        <w:tc>
          <w:tcPr>
            <w:tcW w:w="3969" w:type="dxa"/>
            <w:tcBorders>
              <w:top w:val="nil"/>
              <w:left w:val="single" w:color="auto" w:sz="4" w:space="0"/>
              <w:bottom w:val="single" w:color="auto" w:sz="4" w:space="0"/>
              <w:right w:val="single" w:color="auto" w:sz="4" w:space="0"/>
            </w:tcBorders>
            <w:noWrap/>
            <w:vAlign w:val="center"/>
          </w:tcPr>
          <w:p w14:paraId="00A6E825">
            <w:pPr>
              <w:widowControl/>
              <w:jc w:val="left"/>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4种四环素类药物固体混标</w:t>
            </w:r>
            <w:r>
              <w:rPr>
                <w:rFonts w:hint="eastAsia" w:ascii="宋体" w:hAnsi="宋体" w:cs="宋体"/>
                <w:color w:val="000000" w:themeColor="text1"/>
                <w:kern w:val="0"/>
                <w:sz w:val="11"/>
                <w:szCs w:val="11"/>
                <w14:textFill>
                  <w14:solidFill>
                    <w14:schemeClr w14:val="tx1"/>
                  </w14:solidFill>
                </w14:textFill>
              </w:rPr>
              <w:t>（盐酸金霉素、盐酸四环素、盐酸土霉素、多西环素单盐酸半乙醇半水合物）</w:t>
            </w:r>
          </w:p>
        </w:tc>
        <w:tc>
          <w:tcPr>
            <w:tcW w:w="1185" w:type="dxa"/>
            <w:tcBorders>
              <w:top w:val="nil"/>
              <w:left w:val="nil"/>
              <w:bottom w:val="single" w:color="auto" w:sz="4" w:space="0"/>
              <w:right w:val="single" w:color="auto" w:sz="4" w:space="0"/>
            </w:tcBorders>
            <w:noWrap/>
            <w:vAlign w:val="center"/>
          </w:tcPr>
          <w:p w14:paraId="377AFC08">
            <w:pPr>
              <w:widowControl/>
              <w:jc w:val="center"/>
              <w:rPr>
                <w:color w:val="000000"/>
                <w:sz w:val="15"/>
                <w:szCs w:val="15"/>
              </w:rPr>
            </w:pPr>
          </w:p>
        </w:tc>
        <w:tc>
          <w:tcPr>
            <w:tcW w:w="2908" w:type="dxa"/>
            <w:tcBorders>
              <w:top w:val="nil"/>
              <w:left w:val="nil"/>
              <w:bottom w:val="single" w:color="auto" w:sz="4" w:space="0"/>
              <w:right w:val="single" w:color="auto" w:sz="4" w:space="0"/>
            </w:tcBorders>
            <w:noWrap w:val="0"/>
            <w:vAlign w:val="center"/>
          </w:tcPr>
          <w:p w14:paraId="09CB0600">
            <w:pPr>
              <w:widowControl/>
              <w:jc w:val="left"/>
              <w:rPr>
                <w:color w:val="000000"/>
                <w:sz w:val="15"/>
                <w:szCs w:val="15"/>
              </w:rPr>
            </w:pPr>
            <w:r>
              <w:rPr>
                <w:rFonts w:hint="eastAsia"/>
                <w:color w:val="000000"/>
                <w:sz w:val="15"/>
                <w:szCs w:val="15"/>
              </w:rPr>
              <w:t>100ug</w:t>
            </w:r>
          </w:p>
        </w:tc>
        <w:tc>
          <w:tcPr>
            <w:tcW w:w="532" w:type="dxa"/>
            <w:tcBorders>
              <w:top w:val="nil"/>
              <w:left w:val="nil"/>
              <w:bottom w:val="single" w:color="auto" w:sz="4" w:space="0"/>
              <w:right w:val="single" w:color="auto" w:sz="4" w:space="0"/>
            </w:tcBorders>
            <w:noWrap/>
            <w:vAlign w:val="center"/>
          </w:tcPr>
          <w:p w14:paraId="5CA3F475">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r>
      <w:tr w14:paraId="3F48BF73">
        <w:tblPrEx>
          <w:tblCellMar>
            <w:top w:w="0" w:type="dxa"/>
            <w:left w:w="108" w:type="dxa"/>
            <w:bottom w:w="0" w:type="dxa"/>
            <w:right w:w="108" w:type="dxa"/>
          </w:tblCellMar>
        </w:tblPrEx>
        <w:trPr>
          <w:trHeight w:val="276" w:hRule="atLeast"/>
          <w:jc w:val="center"/>
        </w:trPr>
        <w:tc>
          <w:tcPr>
            <w:tcW w:w="1235" w:type="dxa"/>
            <w:vMerge w:val="continue"/>
            <w:tcBorders>
              <w:left w:val="single" w:color="auto" w:sz="4" w:space="0"/>
              <w:right w:val="single" w:color="auto" w:sz="4" w:space="0"/>
            </w:tcBorders>
            <w:noWrap/>
            <w:vAlign w:val="center"/>
          </w:tcPr>
          <w:p w14:paraId="072E0C23">
            <w:pPr>
              <w:jc w:val="center"/>
              <w:rPr>
                <w:rFonts w:ascii="宋体" w:hAnsi="宋体" w:cs="宋体"/>
                <w:color w:val="000000"/>
                <w:kern w:val="0"/>
                <w:sz w:val="18"/>
                <w:szCs w:val="18"/>
              </w:rPr>
            </w:pPr>
          </w:p>
        </w:tc>
        <w:tc>
          <w:tcPr>
            <w:tcW w:w="3969" w:type="dxa"/>
            <w:tcBorders>
              <w:top w:val="nil"/>
              <w:left w:val="single" w:color="auto" w:sz="4" w:space="0"/>
              <w:bottom w:val="single" w:color="auto" w:sz="4" w:space="0"/>
              <w:right w:val="single" w:color="auto" w:sz="4" w:space="0"/>
            </w:tcBorders>
            <w:noWrap/>
            <w:vAlign w:val="center"/>
          </w:tcPr>
          <w:p w14:paraId="03CD4526">
            <w:pPr>
              <w:widowControl/>
              <w:jc w:val="left"/>
              <w:rPr>
                <w:rFonts w:ascii="宋体" w:hAnsi="宋体" w:cs="宋体"/>
                <w:color w:val="000000"/>
                <w:kern w:val="0"/>
                <w:sz w:val="18"/>
                <w:szCs w:val="18"/>
              </w:rPr>
            </w:pPr>
            <w:r>
              <w:rPr>
                <w:rFonts w:hint="eastAsia" w:ascii="宋体" w:hAnsi="宋体" w:cs="宋体"/>
                <w:color w:val="000000"/>
                <w:kern w:val="0"/>
                <w:sz w:val="18"/>
                <w:szCs w:val="18"/>
              </w:rPr>
              <w:t>四环素-D6</w:t>
            </w:r>
          </w:p>
        </w:tc>
        <w:tc>
          <w:tcPr>
            <w:tcW w:w="1185" w:type="dxa"/>
            <w:tcBorders>
              <w:top w:val="nil"/>
              <w:left w:val="nil"/>
              <w:bottom w:val="single" w:color="auto" w:sz="4" w:space="0"/>
              <w:right w:val="single" w:color="auto" w:sz="4" w:space="0"/>
            </w:tcBorders>
            <w:noWrap/>
            <w:vAlign w:val="center"/>
          </w:tcPr>
          <w:p w14:paraId="74E1B2EE">
            <w:pPr>
              <w:widowControl/>
              <w:jc w:val="center"/>
              <w:rPr>
                <w:color w:val="000000"/>
                <w:sz w:val="15"/>
                <w:szCs w:val="15"/>
              </w:rPr>
            </w:pPr>
          </w:p>
        </w:tc>
        <w:tc>
          <w:tcPr>
            <w:tcW w:w="2908" w:type="dxa"/>
            <w:tcBorders>
              <w:top w:val="nil"/>
              <w:left w:val="nil"/>
              <w:bottom w:val="single" w:color="auto" w:sz="4" w:space="0"/>
              <w:right w:val="single" w:color="auto" w:sz="4" w:space="0"/>
            </w:tcBorders>
            <w:noWrap w:val="0"/>
            <w:vAlign w:val="center"/>
          </w:tcPr>
          <w:p w14:paraId="544E2049">
            <w:pPr>
              <w:widowControl/>
              <w:jc w:val="left"/>
              <w:rPr>
                <w:rFonts w:hint="eastAsia" w:eastAsia="宋体"/>
                <w:color w:val="000000"/>
                <w:sz w:val="15"/>
                <w:szCs w:val="15"/>
                <w:lang w:val="en-US" w:eastAsia="zh-CN"/>
              </w:rPr>
            </w:pPr>
            <w:r>
              <w:rPr>
                <w:rFonts w:hint="eastAsia"/>
                <w:color w:val="000000"/>
                <w:sz w:val="15"/>
                <w:szCs w:val="15"/>
              </w:rPr>
              <w:t>0.</w:t>
            </w:r>
            <w:r>
              <w:rPr>
                <w:rFonts w:hint="eastAsia"/>
                <w:color w:val="000000"/>
                <w:sz w:val="15"/>
                <w:szCs w:val="15"/>
                <w:lang w:val="en-US" w:eastAsia="zh-CN"/>
              </w:rPr>
              <w:t>5</w:t>
            </w:r>
            <w:r>
              <w:rPr>
                <w:rFonts w:hint="eastAsia"/>
                <w:color w:val="000000"/>
                <w:sz w:val="15"/>
                <w:szCs w:val="15"/>
              </w:rPr>
              <w:t>mg/支</w:t>
            </w:r>
          </w:p>
        </w:tc>
        <w:tc>
          <w:tcPr>
            <w:tcW w:w="532" w:type="dxa"/>
            <w:tcBorders>
              <w:top w:val="nil"/>
              <w:left w:val="nil"/>
              <w:bottom w:val="single" w:color="auto" w:sz="4" w:space="0"/>
              <w:right w:val="single" w:color="auto" w:sz="4" w:space="0"/>
            </w:tcBorders>
            <w:noWrap/>
            <w:vAlign w:val="center"/>
          </w:tcPr>
          <w:p w14:paraId="22715E2D">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r>
      <w:tr w14:paraId="59988492">
        <w:tblPrEx>
          <w:tblCellMar>
            <w:top w:w="0" w:type="dxa"/>
            <w:left w:w="108" w:type="dxa"/>
            <w:bottom w:w="0" w:type="dxa"/>
            <w:right w:w="108" w:type="dxa"/>
          </w:tblCellMar>
        </w:tblPrEx>
        <w:trPr>
          <w:trHeight w:val="276" w:hRule="atLeast"/>
          <w:jc w:val="center"/>
        </w:trPr>
        <w:tc>
          <w:tcPr>
            <w:tcW w:w="1235" w:type="dxa"/>
            <w:vMerge w:val="continue"/>
            <w:tcBorders>
              <w:left w:val="single" w:color="auto" w:sz="4" w:space="0"/>
              <w:right w:val="single" w:color="auto" w:sz="4" w:space="0"/>
            </w:tcBorders>
            <w:noWrap/>
            <w:vAlign w:val="center"/>
          </w:tcPr>
          <w:p w14:paraId="2A1F5362">
            <w:pPr>
              <w:jc w:val="center"/>
              <w:rPr>
                <w:rFonts w:ascii="宋体" w:hAnsi="宋体" w:cs="宋体"/>
                <w:color w:val="000000"/>
                <w:kern w:val="0"/>
                <w:sz w:val="18"/>
                <w:szCs w:val="18"/>
              </w:rPr>
            </w:pPr>
          </w:p>
        </w:tc>
        <w:tc>
          <w:tcPr>
            <w:tcW w:w="3969" w:type="dxa"/>
            <w:tcBorders>
              <w:top w:val="nil"/>
              <w:left w:val="single" w:color="auto" w:sz="4" w:space="0"/>
              <w:bottom w:val="single" w:color="auto" w:sz="4" w:space="0"/>
              <w:right w:val="single" w:color="auto" w:sz="4" w:space="0"/>
            </w:tcBorders>
            <w:noWrap/>
            <w:vAlign w:val="center"/>
          </w:tcPr>
          <w:p w14:paraId="200903D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 xml:space="preserve">土霉素-13C22 </w:t>
            </w:r>
          </w:p>
        </w:tc>
        <w:tc>
          <w:tcPr>
            <w:tcW w:w="1185" w:type="dxa"/>
            <w:tcBorders>
              <w:top w:val="nil"/>
              <w:left w:val="nil"/>
              <w:bottom w:val="single" w:color="auto" w:sz="4" w:space="0"/>
              <w:right w:val="single" w:color="auto" w:sz="4" w:space="0"/>
            </w:tcBorders>
            <w:noWrap/>
            <w:vAlign w:val="center"/>
          </w:tcPr>
          <w:p w14:paraId="22FE000B">
            <w:pPr>
              <w:widowControl/>
              <w:jc w:val="center"/>
              <w:rPr>
                <w:color w:val="000000"/>
                <w:sz w:val="15"/>
                <w:szCs w:val="15"/>
              </w:rPr>
            </w:pPr>
          </w:p>
        </w:tc>
        <w:tc>
          <w:tcPr>
            <w:tcW w:w="2908" w:type="dxa"/>
            <w:tcBorders>
              <w:top w:val="nil"/>
              <w:left w:val="nil"/>
              <w:bottom w:val="single" w:color="auto" w:sz="4" w:space="0"/>
              <w:right w:val="single" w:color="auto" w:sz="4" w:space="0"/>
            </w:tcBorders>
            <w:noWrap w:val="0"/>
            <w:vAlign w:val="center"/>
          </w:tcPr>
          <w:p w14:paraId="713234AA">
            <w:pPr>
              <w:keepNext w:val="0"/>
              <w:keepLines w:val="0"/>
              <w:widowControl/>
              <w:suppressLineNumbers w:val="0"/>
              <w:jc w:val="left"/>
              <w:rPr>
                <w:rFonts w:hint="eastAsia"/>
                <w:color w:val="000000"/>
                <w:sz w:val="15"/>
                <w:szCs w:val="15"/>
              </w:rPr>
            </w:pPr>
            <w:r>
              <w:rPr>
                <w:rFonts w:hint="eastAsia"/>
                <w:color w:val="000000"/>
                <w:sz w:val="15"/>
                <w:szCs w:val="15"/>
                <w:lang w:val="en-US" w:eastAsia="zh-CN"/>
              </w:rPr>
              <w:t xml:space="preserve">1mL(2.5ug/ mL) </w:t>
            </w:r>
          </w:p>
        </w:tc>
        <w:tc>
          <w:tcPr>
            <w:tcW w:w="532" w:type="dxa"/>
            <w:tcBorders>
              <w:top w:val="nil"/>
              <w:left w:val="nil"/>
              <w:bottom w:val="single" w:color="auto" w:sz="4" w:space="0"/>
              <w:right w:val="single" w:color="auto" w:sz="4" w:space="0"/>
            </w:tcBorders>
            <w:noWrap/>
            <w:vAlign w:val="center"/>
          </w:tcPr>
          <w:p w14:paraId="562345A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支</w:t>
            </w:r>
          </w:p>
        </w:tc>
      </w:tr>
      <w:tr w14:paraId="30D6D97A">
        <w:tblPrEx>
          <w:tblCellMar>
            <w:top w:w="0" w:type="dxa"/>
            <w:left w:w="108" w:type="dxa"/>
            <w:bottom w:w="0" w:type="dxa"/>
            <w:right w:w="108" w:type="dxa"/>
          </w:tblCellMar>
        </w:tblPrEx>
        <w:trPr>
          <w:trHeight w:val="276" w:hRule="atLeast"/>
          <w:jc w:val="center"/>
        </w:trPr>
        <w:tc>
          <w:tcPr>
            <w:tcW w:w="1235" w:type="dxa"/>
            <w:vMerge w:val="continue"/>
            <w:tcBorders>
              <w:left w:val="single" w:color="auto" w:sz="4" w:space="0"/>
              <w:right w:val="single" w:color="auto" w:sz="4" w:space="0"/>
            </w:tcBorders>
            <w:noWrap/>
            <w:vAlign w:val="center"/>
          </w:tcPr>
          <w:p w14:paraId="0AFEFB6B">
            <w:pPr>
              <w:jc w:val="center"/>
              <w:rPr>
                <w:rFonts w:ascii="宋体" w:hAnsi="宋体" w:cs="宋体"/>
                <w:color w:val="000000"/>
                <w:kern w:val="0"/>
                <w:sz w:val="18"/>
                <w:szCs w:val="18"/>
              </w:rPr>
            </w:pPr>
          </w:p>
        </w:tc>
        <w:tc>
          <w:tcPr>
            <w:tcW w:w="3969" w:type="dxa"/>
            <w:tcBorders>
              <w:top w:val="nil"/>
              <w:left w:val="single" w:color="auto" w:sz="4" w:space="0"/>
              <w:bottom w:val="single" w:color="auto" w:sz="4" w:space="0"/>
              <w:right w:val="single" w:color="auto" w:sz="4" w:space="0"/>
            </w:tcBorders>
            <w:noWrap/>
            <w:vAlign w:val="center"/>
          </w:tcPr>
          <w:p w14:paraId="412B03CD">
            <w:pPr>
              <w:keepNext w:val="0"/>
              <w:keepLines w:val="0"/>
              <w:widowControl/>
              <w:suppressLineNumbers w:val="0"/>
              <w:jc w:val="left"/>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 xml:space="preserve">盐酸金霉素-13C-d3 </w:t>
            </w:r>
          </w:p>
        </w:tc>
        <w:tc>
          <w:tcPr>
            <w:tcW w:w="1185" w:type="dxa"/>
            <w:tcBorders>
              <w:top w:val="nil"/>
              <w:left w:val="nil"/>
              <w:bottom w:val="single" w:color="auto" w:sz="4" w:space="0"/>
              <w:right w:val="single" w:color="auto" w:sz="4" w:space="0"/>
            </w:tcBorders>
            <w:noWrap/>
            <w:vAlign w:val="center"/>
          </w:tcPr>
          <w:p w14:paraId="67069497">
            <w:pPr>
              <w:widowControl/>
              <w:jc w:val="center"/>
              <w:rPr>
                <w:color w:val="000000"/>
                <w:sz w:val="15"/>
                <w:szCs w:val="15"/>
              </w:rPr>
            </w:pPr>
          </w:p>
        </w:tc>
        <w:tc>
          <w:tcPr>
            <w:tcW w:w="2908" w:type="dxa"/>
            <w:tcBorders>
              <w:top w:val="nil"/>
              <w:left w:val="nil"/>
              <w:bottom w:val="single" w:color="auto" w:sz="4" w:space="0"/>
              <w:right w:val="single" w:color="auto" w:sz="4" w:space="0"/>
            </w:tcBorders>
            <w:noWrap w:val="0"/>
            <w:vAlign w:val="center"/>
          </w:tcPr>
          <w:p w14:paraId="24C5BA12">
            <w:pPr>
              <w:keepNext w:val="0"/>
              <w:keepLines w:val="0"/>
              <w:widowControl/>
              <w:suppressLineNumbers w:val="0"/>
              <w:jc w:val="left"/>
              <w:rPr>
                <w:rFonts w:hint="eastAsia"/>
                <w:color w:val="000000"/>
                <w:sz w:val="15"/>
                <w:szCs w:val="15"/>
              </w:rPr>
            </w:pPr>
            <w:r>
              <w:rPr>
                <w:rFonts w:hint="eastAsia"/>
                <w:color w:val="000000"/>
                <w:sz w:val="15"/>
                <w:szCs w:val="15"/>
                <w:lang w:val="en-US" w:eastAsia="zh-CN"/>
              </w:rPr>
              <w:t>0.5mg</w:t>
            </w:r>
          </w:p>
        </w:tc>
        <w:tc>
          <w:tcPr>
            <w:tcW w:w="532" w:type="dxa"/>
            <w:tcBorders>
              <w:top w:val="nil"/>
              <w:left w:val="nil"/>
              <w:bottom w:val="single" w:color="auto" w:sz="4" w:space="0"/>
              <w:right w:val="single" w:color="auto" w:sz="4" w:space="0"/>
            </w:tcBorders>
            <w:noWrap/>
            <w:vAlign w:val="center"/>
          </w:tcPr>
          <w:p w14:paraId="71D15DE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支</w:t>
            </w:r>
          </w:p>
        </w:tc>
      </w:tr>
      <w:tr w14:paraId="0D98B350">
        <w:tblPrEx>
          <w:tblCellMar>
            <w:top w:w="0" w:type="dxa"/>
            <w:left w:w="108" w:type="dxa"/>
            <w:bottom w:w="0" w:type="dxa"/>
            <w:right w:w="108" w:type="dxa"/>
          </w:tblCellMar>
        </w:tblPrEx>
        <w:trPr>
          <w:trHeight w:val="276" w:hRule="atLeast"/>
          <w:jc w:val="center"/>
        </w:trPr>
        <w:tc>
          <w:tcPr>
            <w:tcW w:w="1235" w:type="dxa"/>
            <w:vMerge w:val="continue"/>
            <w:tcBorders>
              <w:left w:val="single" w:color="auto" w:sz="4" w:space="0"/>
              <w:right w:val="single" w:color="auto" w:sz="4" w:space="0"/>
            </w:tcBorders>
            <w:noWrap/>
            <w:vAlign w:val="center"/>
          </w:tcPr>
          <w:p w14:paraId="09DE3898">
            <w:pPr>
              <w:jc w:val="center"/>
              <w:rPr>
                <w:rFonts w:ascii="宋体" w:hAnsi="宋体" w:cs="宋体"/>
                <w:color w:val="000000"/>
                <w:kern w:val="0"/>
                <w:sz w:val="18"/>
                <w:szCs w:val="18"/>
              </w:rPr>
            </w:pPr>
          </w:p>
        </w:tc>
        <w:tc>
          <w:tcPr>
            <w:tcW w:w="3969" w:type="dxa"/>
            <w:tcBorders>
              <w:top w:val="nil"/>
              <w:left w:val="single" w:color="auto" w:sz="4" w:space="0"/>
              <w:bottom w:val="single" w:color="auto" w:sz="4" w:space="0"/>
              <w:right w:val="single" w:color="auto" w:sz="4" w:space="0"/>
            </w:tcBorders>
            <w:noWrap/>
            <w:vAlign w:val="center"/>
          </w:tcPr>
          <w:p w14:paraId="34B70482">
            <w:pPr>
              <w:keepNext w:val="0"/>
              <w:keepLines w:val="0"/>
              <w:widowControl/>
              <w:suppressLineNumbers w:val="0"/>
              <w:jc w:val="left"/>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盐酸强力霉素-D3</w:t>
            </w:r>
          </w:p>
        </w:tc>
        <w:tc>
          <w:tcPr>
            <w:tcW w:w="1185" w:type="dxa"/>
            <w:tcBorders>
              <w:top w:val="nil"/>
              <w:left w:val="nil"/>
              <w:bottom w:val="single" w:color="auto" w:sz="4" w:space="0"/>
              <w:right w:val="single" w:color="auto" w:sz="4" w:space="0"/>
            </w:tcBorders>
            <w:noWrap/>
            <w:vAlign w:val="center"/>
          </w:tcPr>
          <w:p w14:paraId="1F379287">
            <w:pPr>
              <w:widowControl/>
              <w:jc w:val="center"/>
              <w:rPr>
                <w:color w:val="000000"/>
                <w:sz w:val="15"/>
                <w:szCs w:val="15"/>
              </w:rPr>
            </w:pPr>
          </w:p>
        </w:tc>
        <w:tc>
          <w:tcPr>
            <w:tcW w:w="2908" w:type="dxa"/>
            <w:tcBorders>
              <w:top w:val="nil"/>
              <w:left w:val="nil"/>
              <w:bottom w:val="single" w:color="auto" w:sz="4" w:space="0"/>
              <w:right w:val="single" w:color="auto" w:sz="4" w:space="0"/>
            </w:tcBorders>
            <w:noWrap w:val="0"/>
            <w:vAlign w:val="center"/>
          </w:tcPr>
          <w:p w14:paraId="56DDFD73">
            <w:pPr>
              <w:keepNext w:val="0"/>
              <w:keepLines w:val="0"/>
              <w:widowControl/>
              <w:suppressLineNumbers w:val="0"/>
              <w:jc w:val="left"/>
              <w:rPr>
                <w:rFonts w:hint="eastAsia"/>
                <w:color w:val="000000"/>
                <w:sz w:val="15"/>
                <w:szCs w:val="15"/>
              </w:rPr>
            </w:pPr>
            <w:r>
              <w:rPr>
                <w:rFonts w:hint="eastAsia"/>
                <w:color w:val="000000"/>
                <w:sz w:val="15"/>
                <w:szCs w:val="15"/>
                <w:lang w:val="en-US" w:eastAsia="zh-CN"/>
              </w:rPr>
              <w:t>1mg</w:t>
            </w:r>
          </w:p>
        </w:tc>
        <w:tc>
          <w:tcPr>
            <w:tcW w:w="532" w:type="dxa"/>
            <w:tcBorders>
              <w:top w:val="nil"/>
              <w:left w:val="nil"/>
              <w:bottom w:val="single" w:color="auto" w:sz="4" w:space="0"/>
              <w:right w:val="single" w:color="auto" w:sz="4" w:space="0"/>
            </w:tcBorders>
            <w:noWrap/>
            <w:vAlign w:val="center"/>
          </w:tcPr>
          <w:p w14:paraId="68B66AA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支</w:t>
            </w:r>
          </w:p>
        </w:tc>
      </w:tr>
      <w:tr w14:paraId="55FAF133">
        <w:tblPrEx>
          <w:tblCellMar>
            <w:top w:w="0" w:type="dxa"/>
            <w:left w:w="108" w:type="dxa"/>
            <w:bottom w:w="0" w:type="dxa"/>
            <w:right w:w="108" w:type="dxa"/>
          </w:tblCellMar>
        </w:tblPrEx>
        <w:trPr>
          <w:trHeight w:val="237" w:hRule="atLeast"/>
          <w:jc w:val="center"/>
        </w:trPr>
        <w:tc>
          <w:tcPr>
            <w:tcW w:w="1235" w:type="dxa"/>
            <w:vMerge w:val="continue"/>
            <w:tcBorders>
              <w:left w:val="single" w:color="auto" w:sz="4" w:space="0"/>
              <w:right w:val="single" w:color="auto" w:sz="4" w:space="0"/>
            </w:tcBorders>
            <w:noWrap/>
            <w:vAlign w:val="center"/>
          </w:tcPr>
          <w:p w14:paraId="62497F4F">
            <w:pPr>
              <w:jc w:val="center"/>
              <w:rPr>
                <w:rFonts w:ascii="宋体" w:hAnsi="宋体" w:cs="宋体"/>
                <w:color w:val="000000"/>
                <w:kern w:val="0"/>
                <w:sz w:val="18"/>
                <w:szCs w:val="18"/>
              </w:rPr>
            </w:pPr>
          </w:p>
        </w:tc>
        <w:tc>
          <w:tcPr>
            <w:tcW w:w="3969" w:type="dxa"/>
            <w:tcBorders>
              <w:top w:val="nil"/>
              <w:left w:val="single" w:color="auto" w:sz="4" w:space="0"/>
              <w:bottom w:val="single" w:color="auto" w:sz="4" w:space="0"/>
              <w:right w:val="single" w:color="auto" w:sz="4" w:space="0"/>
            </w:tcBorders>
            <w:noWrap/>
            <w:vAlign w:val="center"/>
          </w:tcPr>
          <w:p w14:paraId="359D462A">
            <w:pPr>
              <w:widowControl/>
              <w:jc w:val="left"/>
              <w:rPr>
                <w:rFonts w:ascii="宋体" w:hAnsi="宋体" w:cs="宋体"/>
                <w:color w:val="FF0000"/>
                <w:kern w:val="0"/>
                <w:sz w:val="18"/>
                <w:szCs w:val="18"/>
              </w:rPr>
            </w:pPr>
            <w:r>
              <w:rPr>
                <w:rFonts w:hint="eastAsia" w:ascii="宋体" w:hAnsi="宋体" w:cs="宋体"/>
                <w:color w:val="000000"/>
                <w:kern w:val="0"/>
                <w:sz w:val="18"/>
                <w:szCs w:val="18"/>
              </w:rPr>
              <w:t>金刚烷胺</w:t>
            </w:r>
          </w:p>
        </w:tc>
        <w:tc>
          <w:tcPr>
            <w:tcW w:w="1185" w:type="dxa"/>
            <w:tcBorders>
              <w:top w:val="nil"/>
              <w:left w:val="nil"/>
              <w:bottom w:val="single" w:color="auto" w:sz="4" w:space="0"/>
              <w:right w:val="single" w:color="auto" w:sz="4" w:space="0"/>
            </w:tcBorders>
            <w:noWrap/>
            <w:vAlign w:val="center"/>
          </w:tcPr>
          <w:p w14:paraId="39639A73">
            <w:pPr>
              <w:widowControl/>
              <w:jc w:val="center"/>
              <w:rPr>
                <w:color w:val="000000"/>
                <w:sz w:val="15"/>
                <w:szCs w:val="15"/>
              </w:rPr>
            </w:pPr>
          </w:p>
        </w:tc>
        <w:tc>
          <w:tcPr>
            <w:tcW w:w="2908" w:type="dxa"/>
            <w:tcBorders>
              <w:top w:val="nil"/>
              <w:left w:val="nil"/>
              <w:bottom w:val="single" w:color="auto" w:sz="4" w:space="0"/>
              <w:right w:val="single" w:color="auto" w:sz="4" w:space="0"/>
            </w:tcBorders>
            <w:noWrap w:val="0"/>
            <w:vAlign w:val="center"/>
          </w:tcPr>
          <w:p w14:paraId="44673E71">
            <w:pPr>
              <w:widowControl/>
              <w:jc w:val="left"/>
              <w:rPr>
                <w:color w:val="000000"/>
                <w:sz w:val="15"/>
                <w:szCs w:val="15"/>
              </w:rPr>
            </w:pPr>
            <w:r>
              <w:rPr>
                <w:rFonts w:hint="eastAsia"/>
                <w:color w:val="000000"/>
                <w:sz w:val="15"/>
                <w:szCs w:val="15"/>
              </w:rPr>
              <w:t>1000mg/L于LC-MS级甲醇，1ml</w:t>
            </w:r>
            <w:r>
              <w:rPr>
                <w:color w:val="000000"/>
                <w:sz w:val="15"/>
                <w:szCs w:val="15"/>
              </w:rPr>
              <w:t>/</w:t>
            </w:r>
            <w:r>
              <w:rPr>
                <w:rFonts w:hint="eastAsia"/>
                <w:color w:val="000000"/>
                <w:sz w:val="15"/>
                <w:szCs w:val="15"/>
              </w:rPr>
              <w:t>支</w:t>
            </w:r>
          </w:p>
        </w:tc>
        <w:tc>
          <w:tcPr>
            <w:tcW w:w="532" w:type="dxa"/>
            <w:tcBorders>
              <w:top w:val="nil"/>
              <w:left w:val="nil"/>
              <w:bottom w:val="single" w:color="auto" w:sz="4" w:space="0"/>
              <w:right w:val="single" w:color="auto" w:sz="4" w:space="0"/>
            </w:tcBorders>
            <w:noWrap/>
            <w:vAlign w:val="center"/>
          </w:tcPr>
          <w:p w14:paraId="05CA933B">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r>
      <w:tr w14:paraId="6534A42F">
        <w:tblPrEx>
          <w:tblCellMar>
            <w:top w:w="0" w:type="dxa"/>
            <w:left w:w="108" w:type="dxa"/>
            <w:bottom w:w="0" w:type="dxa"/>
            <w:right w:w="108" w:type="dxa"/>
          </w:tblCellMar>
        </w:tblPrEx>
        <w:trPr>
          <w:trHeight w:val="56" w:hRule="atLeast"/>
          <w:jc w:val="center"/>
        </w:trPr>
        <w:tc>
          <w:tcPr>
            <w:tcW w:w="1235" w:type="dxa"/>
            <w:vMerge w:val="continue"/>
            <w:tcBorders>
              <w:left w:val="single" w:color="auto" w:sz="4" w:space="0"/>
              <w:right w:val="single" w:color="auto" w:sz="4" w:space="0"/>
            </w:tcBorders>
            <w:noWrap/>
            <w:vAlign w:val="center"/>
          </w:tcPr>
          <w:p w14:paraId="27E6218B">
            <w:pPr>
              <w:jc w:val="center"/>
              <w:rPr>
                <w:rFonts w:ascii="宋体" w:hAnsi="宋体" w:cs="宋体"/>
                <w:color w:val="000000"/>
                <w:kern w:val="0"/>
                <w:sz w:val="18"/>
                <w:szCs w:val="18"/>
              </w:rPr>
            </w:pPr>
          </w:p>
        </w:tc>
        <w:tc>
          <w:tcPr>
            <w:tcW w:w="3969" w:type="dxa"/>
            <w:tcBorders>
              <w:top w:val="nil"/>
              <w:left w:val="single" w:color="auto" w:sz="4" w:space="0"/>
              <w:bottom w:val="single" w:color="auto" w:sz="4" w:space="0"/>
              <w:right w:val="single" w:color="auto" w:sz="4" w:space="0"/>
            </w:tcBorders>
            <w:noWrap/>
            <w:vAlign w:val="center"/>
          </w:tcPr>
          <w:p w14:paraId="2DD459AF">
            <w:pPr>
              <w:widowControl/>
              <w:jc w:val="left"/>
              <w:rPr>
                <w:rFonts w:ascii="宋体" w:hAnsi="宋体" w:cs="宋体"/>
                <w:color w:val="FF0000"/>
                <w:kern w:val="0"/>
                <w:sz w:val="18"/>
                <w:szCs w:val="18"/>
              </w:rPr>
            </w:pPr>
            <w:r>
              <w:rPr>
                <w:rFonts w:hint="eastAsia" w:ascii="宋体" w:hAnsi="宋体" w:cs="宋体"/>
                <w:color w:val="000000"/>
                <w:kern w:val="0"/>
                <w:sz w:val="18"/>
                <w:szCs w:val="18"/>
              </w:rPr>
              <w:t>金刚烷胺-D15</w:t>
            </w:r>
          </w:p>
        </w:tc>
        <w:tc>
          <w:tcPr>
            <w:tcW w:w="1185" w:type="dxa"/>
            <w:tcBorders>
              <w:top w:val="nil"/>
              <w:left w:val="nil"/>
              <w:bottom w:val="single" w:color="auto" w:sz="4" w:space="0"/>
              <w:right w:val="single" w:color="auto" w:sz="4" w:space="0"/>
            </w:tcBorders>
            <w:noWrap/>
            <w:vAlign w:val="center"/>
          </w:tcPr>
          <w:p w14:paraId="2BDFB3AF">
            <w:pPr>
              <w:widowControl/>
              <w:jc w:val="center"/>
              <w:rPr>
                <w:color w:val="000000"/>
                <w:sz w:val="15"/>
                <w:szCs w:val="15"/>
              </w:rPr>
            </w:pPr>
          </w:p>
        </w:tc>
        <w:tc>
          <w:tcPr>
            <w:tcW w:w="2908" w:type="dxa"/>
            <w:tcBorders>
              <w:top w:val="nil"/>
              <w:left w:val="nil"/>
              <w:bottom w:val="single" w:color="auto" w:sz="4" w:space="0"/>
              <w:right w:val="single" w:color="auto" w:sz="4" w:space="0"/>
            </w:tcBorders>
            <w:noWrap w:val="0"/>
            <w:vAlign w:val="center"/>
          </w:tcPr>
          <w:p w14:paraId="2D7CE741">
            <w:pPr>
              <w:widowControl/>
              <w:jc w:val="left"/>
              <w:rPr>
                <w:color w:val="000000"/>
                <w:sz w:val="15"/>
                <w:szCs w:val="15"/>
              </w:rPr>
            </w:pPr>
            <w:r>
              <w:rPr>
                <w:rFonts w:hint="eastAsia"/>
                <w:color w:val="000000"/>
                <w:sz w:val="15"/>
                <w:szCs w:val="15"/>
              </w:rPr>
              <w:t>100mg/L于LC-MS级甲醇，1ml</w:t>
            </w:r>
            <w:r>
              <w:rPr>
                <w:color w:val="000000"/>
                <w:sz w:val="15"/>
                <w:szCs w:val="15"/>
              </w:rPr>
              <w:t>/</w:t>
            </w:r>
            <w:r>
              <w:rPr>
                <w:rFonts w:hint="eastAsia"/>
                <w:color w:val="000000"/>
                <w:sz w:val="15"/>
                <w:szCs w:val="15"/>
              </w:rPr>
              <w:t>支</w:t>
            </w:r>
          </w:p>
        </w:tc>
        <w:tc>
          <w:tcPr>
            <w:tcW w:w="532" w:type="dxa"/>
            <w:tcBorders>
              <w:top w:val="nil"/>
              <w:left w:val="nil"/>
              <w:bottom w:val="single" w:color="auto" w:sz="4" w:space="0"/>
              <w:right w:val="single" w:color="auto" w:sz="4" w:space="0"/>
            </w:tcBorders>
            <w:noWrap/>
            <w:vAlign w:val="center"/>
          </w:tcPr>
          <w:p w14:paraId="0DCBC907">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r>
      <w:tr w14:paraId="793546E0">
        <w:tblPrEx>
          <w:tblCellMar>
            <w:top w:w="0" w:type="dxa"/>
            <w:left w:w="108" w:type="dxa"/>
            <w:bottom w:w="0" w:type="dxa"/>
            <w:right w:w="108" w:type="dxa"/>
          </w:tblCellMar>
        </w:tblPrEx>
        <w:trPr>
          <w:trHeight w:val="147" w:hRule="atLeast"/>
          <w:jc w:val="center"/>
        </w:trPr>
        <w:tc>
          <w:tcPr>
            <w:tcW w:w="1235" w:type="dxa"/>
            <w:vMerge w:val="continue"/>
            <w:tcBorders>
              <w:left w:val="single" w:color="auto" w:sz="4" w:space="0"/>
              <w:right w:val="single" w:color="auto" w:sz="4" w:space="0"/>
            </w:tcBorders>
            <w:noWrap/>
            <w:vAlign w:val="center"/>
          </w:tcPr>
          <w:p w14:paraId="561D315A">
            <w:pPr>
              <w:jc w:val="center"/>
              <w:rPr>
                <w:rFonts w:ascii="宋体" w:hAnsi="宋体" w:cs="宋体"/>
                <w:color w:val="000000"/>
                <w:kern w:val="0"/>
                <w:sz w:val="18"/>
                <w:szCs w:val="18"/>
              </w:rPr>
            </w:pPr>
          </w:p>
        </w:tc>
        <w:tc>
          <w:tcPr>
            <w:tcW w:w="3969" w:type="dxa"/>
            <w:tcBorders>
              <w:top w:val="nil"/>
              <w:left w:val="single" w:color="auto" w:sz="4" w:space="0"/>
              <w:bottom w:val="single" w:color="auto" w:sz="4" w:space="0"/>
              <w:right w:val="single" w:color="auto" w:sz="4" w:space="0"/>
            </w:tcBorders>
            <w:noWrap/>
            <w:vAlign w:val="center"/>
          </w:tcPr>
          <w:p w14:paraId="25EE024C">
            <w:pPr>
              <w:widowControl/>
              <w:jc w:val="left"/>
              <w:rPr>
                <w:rFonts w:ascii="宋体" w:hAnsi="宋体" w:cs="宋体"/>
                <w:color w:val="000000"/>
                <w:kern w:val="0"/>
                <w:sz w:val="18"/>
                <w:szCs w:val="18"/>
              </w:rPr>
            </w:pPr>
            <w:r>
              <w:rPr>
                <w:rFonts w:hint="eastAsia" w:ascii="宋体" w:hAnsi="宋体" w:cs="宋体"/>
                <w:color w:val="000000"/>
                <w:kern w:val="0"/>
                <w:sz w:val="18"/>
                <w:szCs w:val="18"/>
              </w:rPr>
              <w:t>氯霉素</w:t>
            </w:r>
          </w:p>
        </w:tc>
        <w:tc>
          <w:tcPr>
            <w:tcW w:w="1185" w:type="dxa"/>
            <w:tcBorders>
              <w:top w:val="nil"/>
              <w:left w:val="nil"/>
              <w:bottom w:val="single" w:color="auto" w:sz="4" w:space="0"/>
              <w:right w:val="single" w:color="auto" w:sz="4" w:space="0"/>
            </w:tcBorders>
            <w:noWrap/>
            <w:vAlign w:val="center"/>
          </w:tcPr>
          <w:p w14:paraId="2F98C652">
            <w:pPr>
              <w:widowControl/>
              <w:jc w:val="center"/>
              <w:rPr>
                <w:color w:val="000000"/>
                <w:sz w:val="15"/>
                <w:szCs w:val="15"/>
              </w:rPr>
            </w:pPr>
          </w:p>
        </w:tc>
        <w:tc>
          <w:tcPr>
            <w:tcW w:w="2908" w:type="dxa"/>
            <w:tcBorders>
              <w:top w:val="nil"/>
              <w:left w:val="nil"/>
              <w:bottom w:val="single" w:color="auto" w:sz="4" w:space="0"/>
              <w:right w:val="single" w:color="auto" w:sz="4" w:space="0"/>
            </w:tcBorders>
            <w:noWrap w:val="0"/>
            <w:vAlign w:val="center"/>
          </w:tcPr>
          <w:p w14:paraId="42514E8B">
            <w:pPr>
              <w:jc w:val="left"/>
              <w:rPr>
                <w:color w:val="000000"/>
                <w:sz w:val="15"/>
                <w:szCs w:val="15"/>
              </w:rPr>
            </w:pPr>
            <w:r>
              <w:rPr>
                <w:rFonts w:hint="eastAsia"/>
                <w:color w:val="000000"/>
                <w:sz w:val="15"/>
                <w:szCs w:val="15"/>
              </w:rPr>
              <w:t>100mg/L于甲醇，1ml</w:t>
            </w:r>
            <w:r>
              <w:rPr>
                <w:color w:val="000000"/>
                <w:sz w:val="15"/>
                <w:szCs w:val="15"/>
              </w:rPr>
              <w:t>/</w:t>
            </w:r>
            <w:r>
              <w:rPr>
                <w:rFonts w:hint="eastAsia"/>
                <w:color w:val="000000"/>
                <w:sz w:val="15"/>
                <w:szCs w:val="15"/>
              </w:rPr>
              <w:t>支</w:t>
            </w:r>
          </w:p>
        </w:tc>
        <w:tc>
          <w:tcPr>
            <w:tcW w:w="532" w:type="dxa"/>
            <w:tcBorders>
              <w:top w:val="nil"/>
              <w:left w:val="nil"/>
              <w:bottom w:val="single" w:color="auto" w:sz="4" w:space="0"/>
              <w:right w:val="single" w:color="auto" w:sz="4" w:space="0"/>
            </w:tcBorders>
            <w:noWrap/>
            <w:vAlign w:val="center"/>
          </w:tcPr>
          <w:p w14:paraId="241FA790">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r>
      <w:tr w14:paraId="35F87045">
        <w:tblPrEx>
          <w:tblCellMar>
            <w:top w:w="0" w:type="dxa"/>
            <w:left w:w="108" w:type="dxa"/>
            <w:bottom w:w="0" w:type="dxa"/>
            <w:right w:w="108" w:type="dxa"/>
          </w:tblCellMar>
        </w:tblPrEx>
        <w:trPr>
          <w:trHeight w:val="109" w:hRule="atLeast"/>
          <w:jc w:val="center"/>
        </w:trPr>
        <w:tc>
          <w:tcPr>
            <w:tcW w:w="1235" w:type="dxa"/>
            <w:vMerge w:val="continue"/>
            <w:tcBorders>
              <w:left w:val="single" w:color="auto" w:sz="4" w:space="0"/>
              <w:right w:val="single" w:color="auto" w:sz="4" w:space="0"/>
            </w:tcBorders>
            <w:noWrap/>
            <w:vAlign w:val="center"/>
          </w:tcPr>
          <w:p w14:paraId="1769DEA6">
            <w:pPr>
              <w:jc w:val="center"/>
              <w:rPr>
                <w:rFonts w:ascii="宋体" w:hAnsi="宋体" w:cs="宋体"/>
                <w:color w:val="000000"/>
                <w:kern w:val="0"/>
                <w:sz w:val="18"/>
                <w:szCs w:val="18"/>
              </w:rPr>
            </w:pPr>
          </w:p>
        </w:tc>
        <w:tc>
          <w:tcPr>
            <w:tcW w:w="3969" w:type="dxa"/>
            <w:tcBorders>
              <w:top w:val="nil"/>
              <w:left w:val="single" w:color="auto" w:sz="4" w:space="0"/>
              <w:bottom w:val="single" w:color="auto" w:sz="4" w:space="0"/>
              <w:right w:val="single" w:color="auto" w:sz="4" w:space="0"/>
            </w:tcBorders>
            <w:noWrap/>
            <w:vAlign w:val="center"/>
          </w:tcPr>
          <w:p w14:paraId="0A0EC137">
            <w:pPr>
              <w:widowControl/>
              <w:jc w:val="left"/>
              <w:rPr>
                <w:rFonts w:ascii="宋体" w:hAnsi="宋体" w:cs="宋体"/>
                <w:color w:val="000000"/>
                <w:kern w:val="0"/>
                <w:sz w:val="18"/>
                <w:szCs w:val="18"/>
              </w:rPr>
            </w:pPr>
            <w:r>
              <w:rPr>
                <w:rFonts w:hint="eastAsia" w:ascii="宋体" w:hAnsi="宋体" w:cs="宋体"/>
                <w:color w:val="000000"/>
                <w:kern w:val="0"/>
                <w:sz w:val="18"/>
                <w:szCs w:val="18"/>
              </w:rPr>
              <w:t>氯霉素-D5</w:t>
            </w:r>
          </w:p>
        </w:tc>
        <w:tc>
          <w:tcPr>
            <w:tcW w:w="1185" w:type="dxa"/>
            <w:tcBorders>
              <w:top w:val="nil"/>
              <w:left w:val="nil"/>
              <w:bottom w:val="single" w:color="auto" w:sz="4" w:space="0"/>
              <w:right w:val="single" w:color="auto" w:sz="4" w:space="0"/>
            </w:tcBorders>
            <w:noWrap/>
            <w:vAlign w:val="center"/>
          </w:tcPr>
          <w:p w14:paraId="279087F8">
            <w:pPr>
              <w:widowControl/>
              <w:jc w:val="center"/>
              <w:rPr>
                <w:rFonts w:ascii="宋体" w:hAnsi="宋体" w:cs="宋体"/>
                <w:color w:val="000000"/>
                <w:kern w:val="0"/>
                <w:sz w:val="18"/>
                <w:szCs w:val="18"/>
              </w:rPr>
            </w:pPr>
          </w:p>
        </w:tc>
        <w:tc>
          <w:tcPr>
            <w:tcW w:w="2908" w:type="dxa"/>
            <w:tcBorders>
              <w:top w:val="nil"/>
              <w:left w:val="nil"/>
              <w:bottom w:val="single" w:color="auto" w:sz="4" w:space="0"/>
              <w:right w:val="single" w:color="auto" w:sz="4" w:space="0"/>
            </w:tcBorders>
            <w:noWrap w:val="0"/>
            <w:vAlign w:val="center"/>
          </w:tcPr>
          <w:p w14:paraId="79832BAC">
            <w:pPr>
              <w:jc w:val="left"/>
              <w:rPr>
                <w:rFonts w:ascii="宋体" w:hAnsi="宋体" w:cs="宋体"/>
                <w:color w:val="000000"/>
                <w:kern w:val="0"/>
                <w:sz w:val="18"/>
                <w:szCs w:val="18"/>
              </w:rPr>
            </w:pPr>
            <w:r>
              <w:rPr>
                <w:rFonts w:hint="eastAsia"/>
                <w:color w:val="000000"/>
                <w:sz w:val="15"/>
                <w:szCs w:val="15"/>
              </w:rPr>
              <w:t>100mg/L于乙腈，1ml</w:t>
            </w:r>
            <w:r>
              <w:rPr>
                <w:color w:val="000000"/>
                <w:sz w:val="15"/>
                <w:szCs w:val="15"/>
              </w:rPr>
              <w:t>/</w:t>
            </w:r>
            <w:r>
              <w:rPr>
                <w:rFonts w:hint="eastAsia"/>
                <w:color w:val="000000"/>
                <w:sz w:val="15"/>
                <w:szCs w:val="15"/>
              </w:rPr>
              <w:t>支</w:t>
            </w:r>
          </w:p>
        </w:tc>
        <w:tc>
          <w:tcPr>
            <w:tcW w:w="532" w:type="dxa"/>
            <w:tcBorders>
              <w:top w:val="nil"/>
              <w:left w:val="nil"/>
              <w:bottom w:val="single" w:color="auto" w:sz="4" w:space="0"/>
              <w:right w:val="single" w:color="auto" w:sz="4" w:space="0"/>
            </w:tcBorders>
            <w:noWrap/>
            <w:vAlign w:val="center"/>
          </w:tcPr>
          <w:p w14:paraId="7511DD1C">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r>
      <w:tr w14:paraId="11BF6A1F">
        <w:tblPrEx>
          <w:tblCellMar>
            <w:top w:w="0" w:type="dxa"/>
            <w:left w:w="108" w:type="dxa"/>
            <w:bottom w:w="0" w:type="dxa"/>
            <w:right w:w="108" w:type="dxa"/>
          </w:tblCellMar>
        </w:tblPrEx>
        <w:trPr>
          <w:trHeight w:val="213" w:hRule="atLeast"/>
          <w:jc w:val="center"/>
        </w:trPr>
        <w:tc>
          <w:tcPr>
            <w:tcW w:w="1235" w:type="dxa"/>
            <w:vMerge w:val="continue"/>
            <w:tcBorders>
              <w:left w:val="single" w:color="auto" w:sz="4" w:space="0"/>
              <w:right w:val="single" w:color="auto" w:sz="4" w:space="0"/>
            </w:tcBorders>
            <w:noWrap/>
            <w:vAlign w:val="center"/>
          </w:tcPr>
          <w:p w14:paraId="1A9FD556">
            <w:pPr>
              <w:jc w:val="center"/>
              <w:rPr>
                <w:rFonts w:ascii="宋体" w:hAnsi="宋体" w:cs="宋体"/>
                <w:color w:val="000000"/>
                <w:kern w:val="0"/>
                <w:sz w:val="18"/>
                <w:szCs w:val="18"/>
              </w:rPr>
            </w:pPr>
          </w:p>
        </w:tc>
        <w:tc>
          <w:tcPr>
            <w:tcW w:w="3969" w:type="dxa"/>
            <w:tcBorders>
              <w:top w:val="nil"/>
              <w:left w:val="single" w:color="auto" w:sz="4" w:space="0"/>
              <w:bottom w:val="single" w:color="auto" w:sz="4" w:space="0"/>
              <w:right w:val="single" w:color="auto" w:sz="4" w:space="0"/>
            </w:tcBorders>
            <w:noWrap/>
            <w:vAlign w:val="center"/>
          </w:tcPr>
          <w:p w14:paraId="6FFA3F2E">
            <w:pPr>
              <w:widowControl/>
              <w:jc w:val="left"/>
              <w:rPr>
                <w:rFonts w:ascii="宋体" w:hAnsi="宋体" w:cs="宋体"/>
                <w:color w:val="000000"/>
                <w:kern w:val="0"/>
                <w:sz w:val="18"/>
                <w:szCs w:val="18"/>
              </w:rPr>
            </w:pPr>
            <w:r>
              <w:rPr>
                <w:rFonts w:hint="eastAsia" w:ascii="宋体" w:hAnsi="宋体" w:cs="宋体"/>
                <w:color w:val="000000"/>
                <w:kern w:val="0"/>
                <w:sz w:val="18"/>
                <w:szCs w:val="18"/>
              </w:rPr>
              <w:t>甲砜霉素</w:t>
            </w:r>
          </w:p>
        </w:tc>
        <w:tc>
          <w:tcPr>
            <w:tcW w:w="1185" w:type="dxa"/>
            <w:tcBorders>
              <w:top w:val="nil"/>
              <w:left w:val="nil"/>
              <w:bottom w:val="single" w:color="auto" w:sz="4" w:space="0"/>
              <w:right w:val="single" w:color="auto" w:sz="4" w:space="0"/>
            </w:tcBorders>
            <w:noWrap/>
            <w:vAlign w:val="center"/>
          </w:tcPr>
          <w:p w14:paraId="65A9FB5A">
            <w:pPr>
              <w:widowControl/>
              <w:jc w:val="center"/>
              <w:rPr>
                <w:color w:val="000000"/>
                <w:sz w:val="15"/>
                <w:szCs w:val="15"/>
              </w:rPr>
            </w:pPr>
          </w:p>
        </w:tc>
        <w:tc>
          <w:tcPr>
            <w:tcW w:w="2908" w:type="dxa"/>
            <w:tcBorders>
              <w:top w:val="nil"/>
              <w:left w:val="nil"/>
              <w:bottom w:val="single" w:color="auto" w:sz="4" w:space="0"/>
              <w:right w:val="single" w:color="auto" w:sz="4" w:space="0"/>
            </w:tcBorders>
            <w:noWrap w:val="0"/>
            <w:vAlign w:val="center"/>
          </w:tcPr>
          <w:p w14:paraId="06BB3D92">
            <w:pPr>
              <w:jc w:val="left"/>
              <w:rPr>
                <w:color w:val="000000"/>
                <w:sz w:val="15"/>
                <w:szCs w:val="15"/>
              </w:rPr>
            </w:pPr>
            <w:r>
              <w:rPr>
                <w:color w:val="000000"/>
                <w:sz w:val="15"/>
                <w:szCs w:val="15"/>
              </w:rPr>
              <w:t>100</w:t>
            </w:r>
            <w:r>
              <w:rPr>
                <w:rFonts w:hint="eastAsia"/>
                <w:color w:val="000000"/>
                <w:sz w:val="15"/>
                <w:szCs w:val="15"/>
              </w:rPr>
              <w:t>mg/L于甲醇</w:t>
            </w:r>
            <w:r>
              <w:rPr>
                <w:color w:val="000000"/>
                <w:sz w:val="15"/>
                <w:szCs w:val="15"/>
              </w:rPr>
              <w:t>,1mL/</w:t>
            </w:r>
            <w:r>
              <w:rPr>
                <w:rFonts w:hint="eastAsia"/>
                <w:color w:val="000000"/>
                <w:sz w:val="15"/>
                <w:szCs w:val="15"/>
              </w:rPr>
              <w:t>支</w:t>
            </w:r>
          </w:p>
        </w:tc>
        <w:tc>
          <w:tcPr>
            <w:tcW w:w="532" w:type="dxa"/>
            <w:tcBorders>
              <w:top w:val="nil"/>
              <w:left w:val="nil"/>
              <w:bottom w:val="single" w:color="auto" w:sz="4" w:space="0"/>
              <w:right w:val="single" w:color="auto" w:sz="4" w:space="0"/>
            </w:tcBorders>
            <w:noWrap/>
            <w:vAlign w:val="center"/>
          </w:tcPr>
          <w:p w14:paraId="103272E8">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r>
      <w:tr w14:paraId="791A9A13">
        <w:tblPrEx>
          <w:tblCellMar>
            <w:top w:w="0" w:type="dxa"/>
            <w:left w:w="108" w:type="dxa"/>
            <w:bottom w:w="0" w:type="dxa"/>
            <w:right w:w="108" w:type="dxa"/>
          </w:tblCellMar>
        </w:tblPrEx>
        <w:trPr>
          <w:trHeight w:val="175" w:hRule="atLeast"/>
          <w:jc w:val="center"/>
        </w:trPr>
        <w:tc>
          <w:tcPr>
            <w:tcW w:w="1235" w:type="dxa"/>
            <w:vMerge w:val="continue"/>
            <w:tcBorders>
              <w:left w:val="single" w:color="auto" w:sz="4" w:space="0"/>
              <w:right w:val="single" w:color="auto" w:sz="4" w:space="0"/>
            </w:tcBorders>
            <w:noWrap/>
            <w:vAlign w:val="center"/>
          </w:tcPr>
          <w:p w14:paraId="2F1782BA">
            <w:pPr>
              <w:jc w:val="center"/>
              <w:rPr>
                <w:rFonts w:ascii="宋体" w:hAnsi="宋体" w:cs="宋体"/>
                <w:color w:val="000000"/>
                <w:kern w:val="0"/>
                <w:sz w:val="18"/>
                <w:szCs w:val="18"/>
              </w:rPr>
            </w:pPr>
          </w:p>
        </w:tc>
        <w:tc>
          <w:tcPr>
            <w:tcW w:w="3969" w:type="dxa"/>
            <w:tcBorders>
              <w:top w:val="nil"/>
              <w:left w:val="single" w:color="auto" w:sz="4" w:space="0"/>
              <w:bottom w:val="single" w:color="auto" w:sz="4" w:space="0"/>
              <w:right w:val="single" w:color="auto" w:sz="4" w:space="0"/>
            </w:tcBorders>
            <w:noWrap/>
            <w:vAlign w:val="center"/>
          </w:tcPr>
          <w:p w14:paraId="09C51272">
            <w:pPr>
              <w:widowControl/>
              <w:jc w:val="left"/>
              <w:rPr>
                <w:rFonts w:ascii="宋体" w:hAnsi="宋体" w:cs="宋体"/>
                <w:color w:val="000000"/>
                <w:kern w:val="0"/>
                <w:sz w:val="18"/>
                <w:szCs w:val="18"/>
              </w:rPr>
            </w:pPr>
            <w:r>
              <w:rPr>
                <w:rFonts w:hint="eastAsia" w:ascii="宋体" w:hAnsi="宋体" w:cs="宋体"/>
                <w:color w:val="000000"/>
                <w:kern w:val="0"/>
                <w:sz w:val="18"/>
                <w:szCs w:val="18"/>
              </w:rPr>
              <w:t>甲砜霉素-D3</w:t>
            </w:r>
          </w:p>
        </w:tc>
        <w:tc>
          <w:tcPr>
            <w:tcW w:w="1185" w:type="dxa"/>
            <w:tcBorders>
              <w:top w:val="nil"/>
              <w:left w:val="nil"/>
              <w:bottom w:val="single" w:color="auto" w:sz="4" w:space="0"/>
              <w:right w:val="single" w:color="auto" w:sz="4" w:space="0"/>
            </w:tcBorders>
            <w:noWrap/>
            <w:vAlign w:val="center"/>
          </w:tcPr>
          <w:p w14:paraId="19FDA7EE">
            <w:pPr>
              <w:widowControl/>
              <w:jc w:val="center"/>
              <w:rPr>
                <w:rFonts w:ascii="宋体" w:hAnsi="宋体" w:cs="宋体"/>
                <w:color w:val="000000"/>
                <w:kern w:val="0"/>
                <w:sz w:val="18"/>
                <w:szCs w:val="18"/>
              </w:rPr>
            </w:pPr>
          </w:p>
        </w:tc>
        <w:tc>
          <w:tcPr>
            <w:tcW w:w="2908" w:type="dxa"/>
            <w:tcBorders>
              <w:top w:val="nil"/>
              <w:left w:val="nil"/>
              <w:bottom w:val="single" w:color="auto" w:sz="4" w:space="0"/>
              <w:right w:val="single" w:color="auto" w:sz="4" w:space="0"/>
            </w:tcBorders>
            <w:noWrap w:val="0"/>
            <w:vAlign w:val="center"/>
          </w:tcPr>
          <w:p w14:paraId="00338721">
            <w:pPr>
              <w:jc w:val="left"/>
              <w:rPr>
                <w:rFonts w:ascii="宋体" w:hAnsi="宋体" w:cs="宋体"/>
                <w:color w:val="000000"/>
                <w:kern w:val="0"/>
                <w:sz w:val="18"/>
                <w:szCs w:val="18"/>
              </w:rPr>
            </w:pPr>
            <w:r>
              <w:rPr>
                <w:rFonts w:hint="eastAsia"/>
                <w:color w:val="000000"/>
                <w:sz w:val="15"/>
                <w:szCs w:val="15"/>
              </w:rPr>
              <w:t>1mg</w:t>
            </w:r>
            <w:r>
              <w:rPr>
                <w:color w:val="000000"/>
                <w:sz w:val="15"/>
                <w:szCs w:val="15"/>
              </w:rPr>
              <w:t xml:space="preserve"> /</w:t>
            </w:r>
            <w:r>
              <w:rPr>
                <w:rFonts w:hint="eastAsia"/>
                <w:color w:val="000000"/>
                <w:sz w:val="15"/>
                <w:szCs w:val="15"/>
              </w:rPr>
              <w:t>支</w:t>
            </w:r>
          </w:p>
        </w:tc>
        <w:tc>
          <w:tcPr>
            <w:tcW w:w="532" w:type="dxa"/>
            <w:tcBorders>
              <w:top w:val="nil"/>
              <w:left w:val="nil"/>
              <w:bottom w:val="single" w:color="auto" w:sz="4" w:space="0"/>
              <w:right w:val="single" w:color="auto" w:sz="4" w:space="0"/>
            </w:tcBorders>
            <w:noWrap/>
            <w:vAlign w:val="center"/>
          </w:tcPr>
          <w:p w14:paraId="7AEB03BF">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r>
      <w:tr w14:paraId="06EB783C">
        <w:tblPrEx>
          <w:tblCellMar>
            <w:top w:w="0" w:type="dxa"/>
            <w:left w:w="108" w:type="dxa"/>
            <w:bottom w:w="0" w:type="dxa"/>
            <w:right w:w="108" w:type="dxa"/>
          </w:tblCellMar>
        </w:tblPrEx>
        <w:trPr>
          <w:trHeight w:val="137" w:hRule="atLeast"/>
          <w:jc w:val="center"/>
        </w:trPr>
        <w:tc>
          <w:tcPr>
            <w:tcW w:w="1235" w:type="dxa"/>
            <w:vMerge w:val="continue"/>
            <w:tcBorders>
              <w:left w:val="single" w:color="auto" w:sz="4" w:space="0"/>
              <w:right w:val="single" w:color="auto" w:sz="4" w:space="0"/>
            </w:tcBorders>
            <w:noWrap/>
            <w:vAlign w:val="center"/>
          </w:tcPr>
          <w:p w14:paraId="6B22C802">
            <w:pPr>
              <w:jc w:val="center"/>
              <w:rPr>
                <w:rFonts w:ascii="宋体" w:hAnsi="宋体" w:cs="宋体"/>
                <w:color w:val="000000"/>
                <w:kern w:val="0"/>
                <w:sz w:val="18"/>
                <w:szCs w:val="18"/>
              </w:rPr>
            </w:pPr>
          </w:p>
        </w:tc>
        <w:tc>
          <w:tcPr>
            <w:tcW w:w="3969" w:type="dxa"/>
            <w:tcBorders>
              <w:top w:val="nil"/>
              <w:left w:val="single" w:color="auto" w:sz="4" w:space="0"/>
              <w:bottom w:val="single" w:color="auto" w:sz="4" w:space="0"/>
              <w:right w:val="single" w:color="auto" w:sz="4" w:space="0"/>
            </w:tcBorders>
            <w:noWrap/>
            <w:vAlign w:val="center"/>
          </w:tcPr>
          <w:p w14:paraId="76FFCD04">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氟苯尼考</w:t>
            </w:r>
            <w:r>
              <w:rPr>
                <w:rFonts w:hint="eastAsia" w:ascii="宋体" w:hAnsi="宋体" w:cs="宋体"/>
                <w:color w:val="000000"/>
                <w:kern w:val="0"/>
                <w:sz w:val="18"/>
                <w:szCs w:val="18"/>
                <w:lang w:eastAsia="zh-CN"/>
              </w:rPr>
              <w:t>胺</w:t>
            </w:r>
          </w:p>
        </w:tc>
        <w:tc>
          <w:tcPr>
            <w:tcW w:w="1185" w:type="dxa"/>
            <w:tcBorders>
              <w:top w:val="nil"/>
              <w:left w:val="nil"/>
              <w:bottom w:val="single" w:color="auto" w:sz="4" w:space="0"/>
              <w:right w:val="single" w:color="auto" w:sz="4" w:space="0"/>
            </w:tcBorders>
            <w:noWrap/>
            <w:vAlign w:val="center"/>
          </w:tcPr>
          <w:p w14:paraId="1B3C8063">
            <w:pPr>
              <w:widowControl/>
              <w:jc w:val="center"/>
              <w:rPr>
                <w:color w:val="000000"/>
                <w:sz w:val="15"/>
                <w:szCs w:val="15"/>
              </w:rPr>
            </w:pPr>
          </w:p>
        </w:tc>
        <w:tc>
          <w:tcPr>
            <w:tcW w:w="2908" w:type="dxa"/>
            <w:tcBorders>
              <w:top w:val="nil"/>
              <w:left w:val="nil"/>
              <w:bottom w:val="single" w:color="auto" w:sz="4" w:space="0"/>
              <w:right w:val="single" w:color="auto" w:sz="4" w:space="0"/>
            </w:tcBorders>
            <w:noWrap w:val="0"/>
            <w:vAlign w:val="center"/>
          </w:tcPr>
          <w:p w14:paraId="7B7D9F47">
            <w:pPr>
              <w:jc w:val="left"/>
              <w:rPr>
                <w:rFonts w:hint="eastAsia"/>
                <w:color w:val="000000"/>
                <w:sz w:val="15"/>
                <w:szCs w:val="15"/>
              </w:rPr>
            </w:pPr>
            <w:r>
              <w:rPr>
                <w:rFonts w:hint="eastAsia"/>
                <w:color w:val="000000"/>
                <w:sz w:val="15"/>
                <w:szCs w:val="15"/>
              </w:rPr>
              <w:t>100mg/L于甲醇，1ml</w:t>
            </w:r>
            <w:r>
              <w:rPr>
                <w:color w:val="000000"/>
                <w:sz w:val="15"/>
                <w:szCs w:val="15"/>
              </w:rPr>
              <w:t>/</w:t>
            </w:r>
            <w:r>
              <w:rPr>
                <w:rFonts w:hint="eastAsia"/>
                <w:color w:val="000000"/>
                <w:sz w:val="15"/>
                <w:szCs w:val="15"/>
              </w:rPr>
              <w:t>支</w:t>
            </w:r>
          </w:p>
        </w:tc>
        <w:tc>
          <w:tcPr>
            <w:tcW w:w="532" w:type="dxa"/>
            <w:tcBorders>
              <w:top w:val="nil"/>
              <w:left w:val="nil"/>
              <w:bottom w:val="single" w:color="auto" w:sz="4" w:space="0"/>
              <w:right w:val="single" w:color="auto" w:sz="4" w:space="0"/>
            </w:tcBorders>
            <w:noWrap/>
            <w:vAlign w:val="center"/>
          </w:tcPr>
          <w:p w14:paraId="5EF373E1">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支</w:t>
            </w:r>
          </w:p>
        </w:tc>
      </w:tr>
      <w:tr w14:paraId="5BACAE8F">
        <w:tblPrEx>
          <w:tblCellMar>
            <w:top w:w="0" w:type="dxa"/>
            <w:left w:w="108" w:type="dxa"/>
            <w:bottom w:w="0" w:type="dxa"/>
            <w:right w:w="108" w:type="dxa"/>
          </w:tblCellMar>
        </w:tblPrEx>
        <w:trPr>
          <w:trHeight w:val="137" w:hRule="atLeast"/>
          <w:jc w:val="center"/>
        </w:trPr>
        <w:tc>
          <w:tcPr>
            <w:tcW w:w="1235" w:type="dxa"/>
            <w:vMerge w:val="continue"/>
            <w:tcBorders>
              <w:left w:val="single" w:color="auto" w:sz="4" w:space="0"/>
              <w:right w:val="single" w:color="auto" w:sz="4" w:space="0"/>
            </w:tcBorders>
            <w:noWrap/>
            <w:vAlign w:val="center"/>
          </w:tcPr>
          <w:p w14:paraId="6A5A2C43">
            <w:pPr>
              <w:jc w:val="center"/>
              <w:rPr>
                <w:rFonts w:ascii="宋体" w:hAnsi="宋体" w:cs="宋体"/>
                <w:color w:val="000000"/>
                <w:kern w:val="0"/>
                <w:sz w:val="18"/>
                <w:szCs w:val="18"/>
              </w:rPr>
            </w:pPr>
          </w:p>
        </w:tc>
        <w:tc>
          <w:tcPr>
            <w:tcW w:w="3969" w:type="dxa"/>
            <w:tcBorders>
              <w:top w:val="nil"/>
              <w:left w:val="single" w:color="auto" w:sz="4" w:space="0"/>
              <w:bottom w:val="single" w:color="auto" w:sz="4" w:space="0"/>
              <w:right w:val="single" w:color="auto" w:sz="4" w:space="0"/>
            </w:tcBorders>
            <w:noWrap/>
            <w:vAlign w:val="center"/>
          </w:tcPr>
          <w:p w14:paraId="6BB2514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氟苯尼考</w:t>
            </w:r>
            <w:r>
              <w:rPr>
                <w:rFonts w:hint="eastAsia" w:ascii="宋体" w:hAnsi="宋体" w:cs="宋体"/>
                <w:color w:val="000000"/>
                <w:kern w:val="0"/>
                <w:sz w:val="18"/>
                <w:szCs w:val="18"/>
                <w:lang w:eastAsia="zh-CN"/>
              </w:rPr>
              <w:t>胺</w:t>
            </w:r>
            <w:r>
              <w:rPr>
                <w:rFonts w:hint="eastAsia" w:ascii="宋体" w:hAnsi="宋体" w:cs="宋体"/>
                <w:color w:val="000000"/>
                <w:kern w:val="0"/>
                <w:sz w:val="18"/>
                <w:szCs w:val="18"/>
              </w:rPr>
              <w:t>-D3</w:t>
            </w:r>
          </w:p>
        </w:tc>
        <w:tc>
          <w:tcPr>
            <w:tcW w:w="1185" w:type="dxa"/>
            <w:tcBorders>
              <w:top w:val="nil"/>
              <w:left w:val="nil"/>
              <w:bottom w:val="single" w:color="auto" w:sz="4" w:space="0"/>
              <w:right w:val="single" w:color="auto" w:sz="4" w:space="0"/>
            </w:tcBorders>
            <w:noWrap/>
            <w:vAlign w:val="center"/>
          </w:tcPr>
          <w:p w14:paraId="12ECA954">
            <w:pPr>
              <w:widowControl/>
              <w:jc w:val="center"/>
              <w:rPr>
                <w:color w:val="000000"/>
                <w:sz w:val="15"/>
                <w:szCs w:val="15"/>
              </w:rPr>
            </w:pPr>
          </w:p>
        </w:tc>
        <w:tc>
          <w:tcPr>
            <w:tcW w:w="2908" w:type="dxa"/>
            <w:tcBorders>
              <w:top w:val="nil"/>
              <w:left w:val="nil"/>
              <w:bottom w:val="single" w:color="auto" w:sz="4" w:space="0"/>
              <w:right w:val="single" w:color="auto" w:sz="4" w:space="0"/>
            </w:tcBorders>
            <w:noWrap w:val="0"/>
            <w:vAlign w:val="center"/>
          </w:tcPr>
          <w:p w14:paraId="0CB2D998">
            <w:pPr>
              <w:jc w:val="left"/>
              <w:rPr>
                <w:rFonts w:hint="eastAsia"/>
                <w:color w:val="000000"/>
                <w:sz w:val="15"/>
                <w:szCs w:val="15"/>
              </w:rPr>
            </w:pPr>
            <w:r>
              <w:rPr>
                <w:rFonts w:hint="eastAsia"/>
                <w:color w:val="000000"/>
                <w:sz w:val="15"/>
                <w:szCs w:val="15"/>
              </w:rPr>
              <w:t>100mg/L于甲醇，1ml</w:t>
            </w:r>
            <w:r>
              <w:rPr>
                <w:color w:val="000000"/>
                <w:sz w:val="15"/>
                <w:szCs w:val="15"/>
              </w:rPr>
              <w:t>/</w:t>
            </w:r>
            <w:r>
              <w:rPr>
                <w:rFonts w:hint="eastAsia"/>
                <w:color w:val="000000"/>
                <w:sz w:val="15"/>
                <w:szCs w:val="15"/>
              </w:rPr>
              <w:t>支</w:t>
            </w:r>
          </w:p>
        </w:tc>
        <w:tc>
          <w:tcPr>
            <w:tcW w:w="532" w:type="dxa"/>
            <w:tcBorders>
              <w:top w:val="nil"/>
              <w:left w:val="nil"/>
              <w:bottom w:val="single" w:color="auto" w:sz="4" w:space="0"/>
              <w:right w:val="single" w:color="auto" w:sz="4" w:space="0"/>
            </w:tcBorders>
            <w:noWrap/>
            <w:vAlign w:val="center"/>
          </w:tcPr>
          <w:p w14:paraId="6352036D">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支</w:t>
            </w:r>
          </w:p>
        </w:tc>
      </w:tr>
      <w:tr w14:paraId="00A7887C">
        <w:tblPrEx>
          <w:tblCellMar>
            <w:top w:w="0" w:type="dxa"/>
            <w:left w:w="108" w:type="dxa"/>
            <w:bottom w:w="0" w:type="dxa"/>
            <w:right w:w="108" w:type="dxa"/>
          </w:tblCellMar>
        </w:tblPrEx>
        <w:trPr>
          <w:trHeight w:val="137" w:hRule="atLeast"/>
          <w:jc w:val="center"/>
        </w:trPr>
        <w:tc>
          <w:tcPr>
            <w:tcW w:w="1235" w:type="dxa"/>
            <w:vMerge w:val="continue"/>
            <w:tcBorders>
              <w:left w:val="single" w:color="auto" w:sz="4" w:space="0"/>
              <w:right w:val="single" w:color="auto" w:sz="4" w:space="0"/>
            </w:tcBorders>
            <w:noWrap/>
            <w:vAlign w:val="center"/>
          </w:tcPr>
          <w:p w14:paraId="7AF4D464">
            <w:pPr>
              <w:jc w:val="center"/>
              <w:rPr>
                <w:rFonts w:ascii="宋体" w:hAnsi="宋体" w:cs="宋体"/>
                <w:color w:val="000000"/>
                <w:kern w:val="0"/>
                <w:sz w:val="18"/>
                <w:szCs w:val="18"/>
              </w:rPr>
            </w:pPr>
          </w:p>
        </w:tc>
        <w:tc>
          <w:tcPr>
            <w:tcW w:w="3969" w:type="dxa"/>
            <w:tcBorders>
              <w:top w:val="nil"/>
              <w:left w:val="single" w:color="auto" w:sz="4" w:space="0"/>
              <w:bottom w:val="single" w:color="auto" w:sz="4" w:space="0"/>
              <w:right w:val="single" w:color="auto" w:sz="4" w:space="0"/>
            </w:tcBorders>
            <w:noWrap/>
            <w:vAlign w:val="center"/>
          </w:tcPr>
          <w:p w14:paraId="34DD100B">
            <w:pPr>
              <w:widowControl/>
              <w:jc w:val="left"/>
              <w:rPr>
                <w:rFonts w:ascii="宋体" w:hAnsi="宋体" w:cs="宋体"/>
                <w:color w:val="000000"/>
                <w:kern w:val="0"/>
                <w:sz w:val="18"/>
                <w:szCs w:val="18"/>
              </w:rPr>
            </w:pPr>
            <w:r>
              <w:rPr>
                <w:rFonts w:hint="eastAsia" w:ascii="宋体" w:hAnsi="宋体" w:cs="宋体"/>
                <w:color w:val="000000"/>
                <w:kern w:val="0"/>
                <w:sz w:val="18"/>
                <w:szCs w:val="18"/>
              </w:rPr>
              <w:t>氟苯尼考</w:t>
            </w:r>
          </w:p>
        </w:tc>
        <w:tc>
          <w:tcPr>
            <w:tcW w:w="1185" w:type="dxa"/>
            <w:tcBorders>
              <w:top w:val="nil"/>
              <w:left w:val="nil"/>
              <w:bottom w:val="single" w:color="auto" w:sz="4" w:space="0"/>
              <w:right w:val="single" w:color="auto" w:sz="4" w:space="0"/>
            </w:tcBorders>
            <w:noWrap/>
            <w:vAlign w:val="center"/>
          </w:tcPr>
          <w:p w14:paraId="4A389131">
            <w:pPr>
              <w:widowControl/>
              <w:jc w:val="center"/>
              <w:rPr>
                <w:color w:val="000000"/>
                <w:sz w:val="15"/>
                <w:szCs w:val="15"/>
              </w:rPr>
            </w:pPr>
          </w:p>
        </w:tc>
        <w:tc>
          <w:tcPr>
            <w:tcW w:w="2908" w:type="dxa"/>
            <w:tcBorders>
              <w:top w:val="nil"/>
              <w:left w:val="nil"/>
              <w:bottom w:val="single" w:color="auto" w:sz="4" w:space="0"/>
              <w:right w:val="single" w:color="auto" w:sz="4" w:space="0"/>
            </w:tcBorders>
            <w:noWrap w:val="0"/>
            <w:vAlign w:val="center"/>
          </w:tcPr>
          <w:p w14:paraId="25555012">
            <w:pPr>
              <w:jc w:val="left"/>
              <w:rPr>
                <w:color w:val="000000"/>
                <w:sz w:val="15"/>
                <w:szCs w:val="15"/>
              </w:rPr>
            </w:pPr>
            <w:r>
              <w:rPr>
                <w:rFonts w:hint="eastAsia"/>
                <w:color w:val="000000"/>
                <w:sz w:val="15"/>
                <w:szCs w:val="15"/>
              </w:rPr>
              <w:t>100mg/L于甲醇，1ml</w:t>
            </w:r>
            <w:r>
              <w:rPr>
                <w:color w:val="000000"/>
                <w:sz w:val="15"/>
                <w:szCs w:val="15"/>
              </w:rPr>
              <w:t>/</w:t>
            </w:r>
            <w:r>
              <w:rPr>
                <w:rFonts w:hint="eastAsia"/>
                <w:color w:val="000000"/>
                <w:sz w:val="15"/>
                <w:szCs w:val="15"/>
              </w:rPr>
              <w:t>支</w:t>
            </w:r>
          </w:p>
        </w:tc>
        <w:tc>
          <w:tcPr>
            <w:tcW w:w="532" w:type="dxa"/>
            <w:tcBorders>
              <w:top w:val="nil"/>
              <w:left w:val="nil"/>
              <w:bottom w:val="single" w:color="auto" w:sz="4" w:space="0"/>
              <w:right w:val="single" w:color="auto" w:sz="4" w:space="0"/>
            </w:tcBorders>
            <w:noWrap/>
            <w:vAlign w:val="center"/>
          </w:tcPr>
          <w:p w14:paraId="7FD2AFFD">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r>
      <w:tr w14:paraId="73E6CF4F">
        <w:tblPrEx>
          <w:tblCellMar>
            <w:top w:w="0" w:type="dxa"/>
            <w:left w:w="108" w:type="dxa"/>
            <w:bottom w:w="0" w:type="dxa"/>
            <w:right w:w="108" w:type="dxa"/>
          </w:tblCellMar>
        </w:tblPrEx>
        <w:trPr>
          <w:trHeight w:val="137" w:hRule="atLeast"/>
          <w:jc w:val="center"/>
        </w:trPr>
        <w:tc>
          <w:tcPr>
            <w:tcW w:w="1235" w:type="dxa"/>
            <w:vMerge w:val="continue"/>
            <w:tcBorders>
              <w:left w:val="single" w:color="auto" w:sz="4" w:space="0"/>
              <w:right w:val="single" w:color="auto" w:sz="4" w:space="0"/>
            </w:tcBorders>
            <w:noWrap/>
            <w:vAlign w:val="center"/>
          </w:tcPr>
          <w:p w14:paraId="2BDA8DC5">
            <w:pPr>
              <w:jc w:val="center"/>
              <w:rPr>
                <w:rFonts w:ascii="宋体" w:hAnsi="宋体" w:cs="宋体"/>
                <w:color w:val="000000"/>
                <w:kern w:val="0"/>
                <w:sz w:val="18"/>
                <w:szCs w:val="18"/>
              </w:rPr>
            </w:pPr>
          </w:p>
        </w:tc>
        <w:tc>
          <w:tcPr>
            <w:tcW w:w="3969" w:type="dxa"/>
            <w:tcBorders>
              <w:top w:val="nil"/>
              <w:left w:val="single" w:color="auto" w:sz="4" w:space="0"/>
              <w:bottom w:val="single" w:color="auto" w:sz="4" w:space="0"/>
              <w:right w:val="single" w:color="auto" w:sz="4" w:space="0"/>
            </w:tcBorders>
            <w:noWrap/>
            <w:vAlign w:val="center"/>
          </w:tcPr>
          <w:p w14:paraId="5AE4AA62">
            <w:pPr>
              <w:widowControl/>
              <w:jc w:val="left"/>
              <w:rPr>
                <w:rFonts w:ascii="宋体" w:hAnsi="宋体" w:cs="宋体"/>
                <w:color w:val="000000"/>
                <w:kern w:val="0"/>
                <w:sz w:val="18"/>
                <w:szCs w:val="18"/>
              </w:rPr>
            </w:pPr>
            <w:r>
              <w:rPr>
                <w:rFonts w:hint="eastAsia" w:ascii="宋体" w:hAnsi="宋体" w:cs="宋体"/>
                <w:color w:val="000000"/>
                <w:kern w:val="0"/>
                <w:sz w:val="18"/>
                <w:szCs w:val="18"/>
              </w:rPr>
              <w:t>氟苯尼考-D3</w:t>
            </w:r>
          </w:p>
        </w:tc>
        <w:tc>
          <w:tcPr>
            <w:tcW w:w="1185" w:type="dxa"/>
            <w:tcBorders>
              <w:top w:val="nil"/>
              <w:left w:val="nil"/>
              <w:bottom w:val="single" w:color="auto" w:sz="4" w:space="0"/>
              <w:right w:val="single" w:color="auto" w:sz="4" w:space="0"/>
            </w:tcBorders>
            <w:noWrap/>
            <w:vAlign w:val="center"/>
          </w:tcPr>
          <w:p w14:paraId="1671F045">
            <w:pPr>
              <w:widowControl/>
              <w:jc w:val="center"/>
              <w:rPr>
                <w:color w:val="000000"/>
                <w:sz w:val="15"/>
                <w:szCs w:val="15"/>
              </w:rPr>
            </w:pPr>
          </w:p>
        </w:tc>
        <w:tc>
          <w:tcPr>
            <w:tcW w:w="2908" w:type="dxa"/>
            <w:tcBorders>
              <w:top w:val="nil"/>
              <w:left w:val="nil"/>
              <w:bottom w:val="single" w:color="auto" w:sz="4" w:space="0"/>
              <w:right w:val="single" w:color="auto" w:sz="4" w:space="0"/>
            </w:tcBorders>
            <w:noWrap w:val="0"/>
            <w:vAlign w:val="center"/>
          </w:tcPr>
          <w:p w14:paraId="4432D682">
            <w:pPr>
              <w:jc w:val="left"/>
              <w:rPr>
                <w:color w:val="000000"/>
                <w:sz w:val="15"/>
                <w:szCs w:val="15"/>
              </w:rPr>
            </w:pPr>
            <w:r>
              <w:rPr>
                <w:rFonts w:hint="eastAsia"/>
                <w:color w:val="000000"/>
                <w:sz w:val="15"/>
                <w:szCs w:val="15"/>
                <w:lang w:val="en-US" w:eastAsia="zh-CN"/>
              </w:rPr>
              <w:t>100</w:t>
            </w:r>
            <w:r>
              <w:rPr>
                <w:rFonts w:hint="eastAsia"/>
                <w:color w:val="000000"/>
                <w:sz w:val="15"/>
                <w:szCs w:val="15"/>
              </w:rPr>
              <w:t xml:space="preserve"> mg/L</w:t>
            </w:r>
            <w:r>
              <w:rPr>
                <w:rFonts w:hint="eastAsia"/>
                <w:color w:val="000000"/>
                <w:sz w:val="15"/>
                <w:szCs w:val="15"/>
                <w:lang w:eastAsia="zh-CN"/>
              </w:rPr>
              <w:t>，</w:t>
            </w:r>
            <w:r>
              <w:rPr>
                <w:rFonts w:hint="eastAsia"/>
                <w:color w:val="000000"/>
                <w:sz w:val="15"/>
                <w:szCs w:val="15"/>
              </w:rPr>
              <w:t>1 mL</w:t>
            </w:r>
            <w:r>
              <w:rPr>
                <w:color w:val="000000"/>
                <w:sz w:val="15"/>
                <w:szCs w:val="15"/>
              </w:rPr>
              <w:t>/</w:t>
            </w:r>
            <w:r>
              <w:rPr>
                <w:rFonts w:hint="eastAsia"/>
                <w:color w:val="000000"/>
                <w:sz w:val="15"/>
                <w:szCs w:val="15"/>
              </w:rPr>
              <w:t>支</w:t>
            </w:r>
          </w:p>
        </w:tc>
        <w:tc>
          <w:tcPr>
            <w:tcW w:w="532" w:type="dxa"/>
            <w:tcBorders>
              <w:top w:val="nil"/>
              <w:left w:val="nil"/>
              <w:bottom w:val="single" w:color="auto" w:sz="4" w:space="0"/>
              <w:right w:val="single" w:color="auto" w:sz="4" w:space="0"/>
            </w:tcBorders>
            <w:noWrap/>
            <w:vAlign w:val="center"/>
          </w:tcPr>
          <w:p w14:paraId="15853887">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r>
      <w:tr w14:paraId="330A8C94">
        <w:tblPrEx>
          <w:tblCellMar>
            <w:top w:w="0" w:type="dxa"/>
            <w:left w:w="108" w:type="dxa"/>
            <w:bottom w:w="0" w:type="dxa"/>
            <w:right w:w="108" w:type="dxa"/>
          </w:tblCellMar>
        </w:tblPrEx>
        <w:trPr>
          <w:trHeight w:val="137" w:hRule="atLeast"/>
          <w:jc w:val="center"/>
        </w:trPr>
        <w:tc>
          <w:tcPr>
            <w:tcW w:w="1235" w:type="dxa"/>
            <w:vMerge w:val="continue"/>
            <w:tcBorders>
              <w:left w:val="single" w:color="auto" w:sz="4" w:space="0"/>
              <w:right w:val="single" w:color="auto" w:sz="4" w:space="0"/>
            </w:tcBorders>
            <w:noWrap/>
            <w:vAlign w:val="center"/>
          </w:tcPr>
          <w:p w14:paraId="315F630A">
            <w:pPr>
              <w:jc w:val="center"/>
              <w:rPr>
                <w:rFonts w:ascii="宋体" w:hAnsi="宋体" w:cs="宋体"/>
                <w:color w:val="000000"/>
                <w:kern w:val="0"/>
                <w:sz w:val="18"/>
                <w:szCs w:val="18"/>
              </w:rPr>
            </w:pPr>
          </w:p>
        </w:tc>
        <w:tc>
          <w:tcPr>
            <w:tcW w:w="3969" w:type="dxa"/>
            <w:tcBorders>
              <w:top w:val="nil"/>
              <w:left w:val="single" w:color="auto" w:sz="4" w:space="0"/>
              <w:bottom w:val="single" w:color="auto" w:sz="4" w:space="0"/>
              <w:right w:val="single" w:color="auto" w:sz="4" w:space="0"/>
            </w:tcBorders>
            <w:noWrap/>
            <w:vAlign w:val="center"/>
          </w:tcPr>
          <w:p w14:paraId="1AD8A45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4种硝基呋喃类代谢物混标</w:t>
            </w:r>
          </w:p>
        </w:tc>
        <w:tc>
          <w:tcPr>
            <w:tcW w:w="1185" w:type="dxa"/>
            <w:tcBorders>
              <w:top w:val="nil"/>
              <w:left w:val="nil"/>
              <w:bottom w:val="single" w:color="auto" w:sz="4" w:space="0"/>
              <w:right w:val="single" w:color="auto" w:sz="4" w:space="0"/>
            </w:tcBorders>
            <w:noWrap/>
            <w:vAlign w:val="center"/>
          </w:tcPr>
          <w:p w14:paraId="5CE079A4">
            <w:pPr>
              <w:widowControl/>
              <w:jc w:val="center"/>
              <w:rPr>
                <w:color w:val="000000"/>
                <w:sz w:val="15"/>
                <w:szCs w:val="15"/>
              </w:rPr>
            </w:pPr>
          </w:p>
        </w:tc>
        <w:tc>
          <w:tcPr>
            <w:tcW w:w="2908" w:type="dxa"/>
            <w:tcBorders>
              <w:top w:val="nil"/>
              <w:left w:val="nil"/>
              <w:bottom w:val="single" w:color="auto" w:sz="4" w:space="0"/>
              <w:right w:val="single" w:color="auto" w:sz="4" w:space="0"/>
            </w:tcBorders>
            <w:noWrap w:val="0"/>
            <w:vAlign w:val="center"/>
          </w:tcPr>
          <w:p w14:paraId="04372E6D">
            <w:pPr>
              <w:jc w:val="left"/>
              <w:rPr>
                <w:rFonts w:hint="eastAsia"/>
                <w:color w:val="000000"/>
                <w:sz w:val="15"/>
                <w:szCs w:val="15"/>
                <w:lang w:val="en-US" w:eastAsia="zh-CN"/>
              </w:rPr>
            </w:pPr>
            <w:r>
              <w:rPr>
                <w:rFonts w:hint="eastAsia"/>
                <w:color w:val="000000"/>
                <w:sz w:val="15"/>
                <w:szCs w:val="15"/>
                <w:lang w:val="en-US" w:eastAsia="zh-CN"/>
              </w:rPr>
              <w:t>100mg/L于甲醇，1ml/支</w:t>
            </w:r>
          </w:p>
        </w:tc>
        <w:tc>
          <w:tcPr>
            <w:tcW w:w="532" w:type="dxa"/>
            <w:tcBorders>
              <w:top w:val="nil"/>
              <w:left w:val="nil"/>
              <w:bottom w:val="single" w:color="auto" w:sz="4" w:space="0"/>
              <w:right w:val="single" w:color="auto" w:sz="4" w:space="0"/>
            </w:tcBorders>
            <w:noWrap/>
            <w:vAlign w:val="center"/>
          </w:tcPr>
          <w:p w14:paraId="0BFEA31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支</w:t>
            </w:r>
          </w:p>
        </w:tc>
      </w:tr>
      <w:tr w14:paraId="0C140265">
        <w:tblPrEx>
          <w:tblCellMar>
            <w:top w:w="0" w:type="dxa"/>
            <w:left w:w="108" w:type="dxa"/>
            <w:bottom w:w="0" w:type="dxa"/>
            <w:right w:w="108" w:type="dxa"/>
          </w:tblCellMar>
        </w:tblPrEx>
        <w:trPr>
          <w:trHeight w:val="137" w:hRule="atLeast"/>
          <w:jc w:val="center"/>
        </w:trPr>
        <w:tc>
          <w:tcPr>
            <w:tcW w:w="1235" w:type="dxa"/>
            <w:vMerge w:val="continue"/>
            <w:tcBorders>
              <w:left w:val="single" w:color="auto" w:sz="4" w:space="0"/>
              <w:bottom w:val="single" w:color="auto" w:sz="4" w:space="0"/>
              <w:right w:val="single" w:color="auto" w:sz="4" w:space="0"/>
            </w:tcBorders>
            <w:noWrap/>
            <w:vAlign w:val="center"/>
          </w:tcPr>
          <w:p w14:paraId="3994D7A7">
            <w:pPr>
              <w:jc w:val="center"/>
              <w:rPr>
                <w:rFonts w:ascii="宋体" w:hAnsi="宋体" w:cs="宋体"/>
                <w:color w:val="000000"/>
                <w:kern w:val="0"/>
                <w:sz w:val="18"/>
                <w:szCs w:val="18"/>
              </w:rPr>
            </w:pPr>
          </w:p>
        </w:tc>
        <w:tc>
          <w:tcPr>
            <w:tcW w:w="3969" w:type="dxa"/>
            <w:tcBorders>
              <w:top w:val="nil"/>
              <w:left w:val="single" w:color="auto" w:sz="4" w:space="0"/>
              <w:bottom w:val="single" w:color="auto" w:sz="4" w:space="0"/>
              <w:right w:val="single" w:color="auto" w:sz="4" w:space="0"/>
            </w:tcBorders>
            <w:noWrap/>
            <w:vAlign w:val="center"/>
          </w:tcPr>
          <w:p w14:paraId="7C203D7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甲醇中4种硝基呋喃类代谢物内标混标</w:t>
            </w:r>
          </w:p>
        </w:tc>
        <w:tc>
          <w:tcPr>
            <w:tcW w:w="1185" w:type="dxa"/>
            <w:tcBorders>
              <w:top w:val="nil"/>
              <w:left w:val="nil"/>
              <w:bottom w:val="single" w:color="auto" w:sz="4" w:space="0"/>
              <w:right w:val="single" w:color="auto" w:sz="4" w:space="0"/>
            </w:tcBorders>
            <w:noWrap/>
            <w:vAlign w:val="center"/>
          </w:tcPr>
          <w:p w14:paraId="4014BF45">
            <w:pPr>
              <w:widowControl/>
              <w:jc w:val="center"/>
              <w:rPr>
                <w:color w:val="000000"/>
                <w:sz w:val="15"/>
                <w:szCs w:val="15"/>
              </w:rPr>
            </w:pPr>
          </w:p>
        </w:tc>
        <w:tc>
          <w:tcPr>
            <w:tcW w:w="2908" w:type="dxa"/>
            <w:tcBorders>
              <w:top w:val="nil"/>
              <w:left w:val="nil"/>
              <w:bottom w:val="single" w:color="auto" w:sz="4" w:space="0"/>
              <w:right w:val="single" w:color="auto" w:sz="4" w:space="0"/>
            </w:tcBorders>
            <w:noWrap w:val="0"/>
            <w:vAlign w:val="center"/>
          </w:tcPr>
          <w:p w14:paraId="0EFF21D1">
            <w:pPr>
              <w:jc w:val="left"/>
              <w:rPr>
                <w:rFonts w:hint="eastAsia"/>
                <w:color w:val="000000"/>
                <w:sz w:val="15"/>
                <w:szCs w:val="15"/>
                <w:lang w:val="en-US" w:eastAsia="zh-CN"/>
              </w:rPr>
            </w:pPr>
            <w:r>
              <w:rPr>
                <w:rFonts w:hint="eastAsia"/>
                <w:color w:val="000000"/>
                <w:sz w:val="15"/>
                <w:szCs w:val="15"/>
                <w:lang w:val="en-US" w:eastAsia="zh-CN"/>
              </w:rPr>
              <w:t>100mg/L于甲醇，1.2ml/支</w:t>
            </w:r>
          </w:p>
        </w:tc>
        <w:tc>
          <w:tcPr>
            <w:tcW w:w="532" w:type="dxa"/>
            <w:tcBorders>
              <w:top w:val="nil"/>
              <w:left w:val="nil"/>
              <w:bottom w:val="single" w:color="auto" w:sz="4" w:space="0"/>
              <w:right w:val="single" w:color="auto" w:sz="4" w:space="0"/>
            </w:tcBorders>
            <w:noWrap/>
            <w:vAlign w:val="center"/>
          </w:tcPr>
          <w:p w14:paraId="2B301AE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支</w:t>
            </w:r>
          </w:p>
        </w:tc>
      </w:tr>
      <w:tr w14:paraId="6C9E13E9">
        <w:tblPrEx>
          <w:tblCellMar>
            <w:top w:w="0" w:type="dxa"/>
            <w:left w:w="108" w:type="dxa"/>
            <w:bottom w:w="0" w:type="dxa"/>
            <w:right w:w="108" w:type="dxa"/>
          </w:tblCellMar>
        </w:tblPrEx>
        <w:trPr>
          <w:trHeight w:val="383" w:hRule="atLeast"/>
          <w:jc w:val="center"/>
        </w:trPr>
        <w:tc>
          <w:tcPr>
            <w:tcW w:w="1235" w:type="dxa"/>
            <w:vMerge w:val="restart"/>
            <w:tcBorders>
              <w:top w:val="single" w:color="auto" w:sz="4" w:space="0"/>
              <w:left w:val="single" w:color="auto" w:sz="4" w:space="0"/>
              <w:right w:val="single" w:color="auto" w:sz="4" w:space="0"/>
            </w:tcBorders>
            <w:noWrap/>
            <w:vAlign w:val="center"/>
          </w:tcPr>
          <w:p w14:paraId="199F657A">
            <w:pPr>
              <w:jc w:val="center"/>
              <w:rPr>
                <w:rFonts w:ascii="宋体" w:hAnsi="宋体" w:cs="宋体"/>
                <w:color w:val="000000"/>
                <w:kern w:val="0"/>
                <w:sz w:val="18"/>
                <w:szCs w:val="18"/>
              </w:rPr>
            </w:pPr>
            <w:r>
              <w:rPr>
                <w:rFonts w:hint="eastAsia" w:ascii="宋体" w:hAnsi="宋体" w:cs="宋体"/>
                <w:color w:val="000000"/>
                <w:kern w:val="0"/>
                <w:sz w:val="18"/>
                <w:szCs w:val="18"/>
              </w:rPr>
              <w:t>分包2</w:t>
            </w:r>
          </w:p>
          <w:p w14:paraId="6DB658A6">
            <w:pPr>
              <w:jc w:val="center"/>
              <w:rPr>
                <w:rFonts w:ascii="宋体" w:hAnsi="宋体" w:cs="宋体"/>
                <w:color w:val="000000"/>
                <w:kern w:val="0"/>
                <w:sz w:val="18"/>
                <w:szCs w:val="18"/>
              </w:rPr>
            </w:pPr>
            <w:r>
              <w:rPr>
                <w:rFonts w:hint="eastAsia" w:ascii="宋体" w:hAnsi="宋体" w:cs="宋体"/>
                <w:color w:val="000000"/>
                <w:kern w:val="0"/>
                <w:sz w:val="18"/>
                <w:szCs w:val="18"/>
              </w:rPr>
              <w:t>(萃取</w:t>
            </w:r>
            <w:r>
              <w:rPr>
                <w:rFonts w:hint="eastAsia" w:ascii="宋体" w:hAnsi="宋体" w:cs="宋体"/>
                <w:color w:val="000000"/>
                <w:kern w:val="0"/>
                <w:sz w:val="18"/>
                <w:szCs w:val="18"/>
                <w:lang w:val="en-US" w:eastAsia="zh-CN"/>
              </w:rPr>
              <w:t>小</w:t>
            </w:r>
            <w:r>
              <w:rPr>
                <w:rFonts w:hint="eastAsia" w:ascii="宋体" w:hAnsi="宋体" w:cs="宋体"/>
                <w:color w:val="000000"/>
                <w:kern w:val="0"/>
                <w:sz w:val="18"/>
                <w:szCs w:val="18"/>
              </w:rPr>
              <w:t>柱)</w:t>
            </w:r>
          </w:p>
        </w:tc>
        <w:tc>
          <w:tcPr>
            <w:tcW w:w="3969" w:type="dxa"/>
            <w:tcBorders>
              <w:top w:val="single" w:color="auto" w:sz="4" w:space="0"/>
              <w:left w:val="single" w:color="auto" w:sz="4" w:space="0"/>
              <w:bottom w:val="single" w:color="auto" w:sz="4" w:space="0"/>
              <w:right w:val="single" w:color="auto" w:sz="4" w:space="0"/>
            </w:tcBorders>
            <w:noWrap/>
            <w:vAlign w:val="center"/>
          </w:tcPr>
          <w:p w14:paraId="4FBDAAD3">
            <w:pPr>
              <w:widowControl/>
              <w:jc w:val="left"/>
              <w:rPr>
                <w:rFonts w:ascii="宋体" w:hAnsi="宋体" w:cs="宋体"/>
                <w:color w:val="000000"/>
                <w:kern w:val="0"/>
                <w:sz w:val="18"/>
                <w:szCs w:val="18"/>
              </w:rPr>
            </w:pPr>
            <w:r>
              <w:rPr>
                <w:rFonts w:ascii="宋体" w:hAnsi="宋体" w:cs="宋体"/>
                <w:color w:val="000000"/>
                <w:kern w:val="0"/>
                <w:sz w:val="18"/>
                <w:szCs w:val="18"/>
              </w:rPr>
              <w:t>Oasis PRiME HLB</w:t>
            </w:r>
            <w:r>
              <w:rPr>
                <w:rFonts w:hint="eastAsia" w:ascii="宋体" w:hAnsi="宋体" w:cs="宋体"/>
                <w:color w:val="000000"/>
                <w:kern w:val="0"/>
                <w:sz w:val="18"/>
                <w:szCs w:val="18"/>
              </w:rPr>
              <w:t>固相萃取小柱</w:t>
            </w:r>
          </w:p>
        </w:tc>
        <w:tc>
          <w:tcPr>
            <w:tcW w:w="1185" w:type="dxa"/>
            <w:tcBorders>
              <w:top w:val="single" w:color="auto" w:sz="4" w:space="0"/>
              <w:left w:val="nil"/>
              <w:bottom w:val="single" w:color="auto" w:sz="4" w:space="0"/>
              <w:right w:val="single" w:color="auto" w:sz="4" w:space="0"/>
            </w:tcBorders>
            <w:noWrap/>
            <w:vAlign w:val="center"/>
          </w:tcPr>
          <w:p w14:paraId="09198929">
            <w:pPr>
              <w:widowControl/>
              <w:jc w:val="center"/>
              <w:rPr>
                <w:rFonts w:ascii="宋体" w:hAnsi="宋体" w:cs="宋体"/>
                <w:color w:val="000000"/>
                <w:kern w:val="0"/>
                <w:sz w:val="18"/>
                <w:szCs w:val="18"/>
              </w:rPr>
            </w:pPr>
            <w:r>
              <w:rPr>
                <w:rFonts w:hint="eastAsia" w:ascii="宋体" w:hAnsi="宋体" w:cs="宋体"/>
                <w:color w:val="000000"/>
                <w:kern w:val="0"/>
                <w:sz w:val="18"/>
                <w:szCs w:val="18"/>
              </w:rPr>
              <w:t>Waters</w:t>
            </w:r>
          </w:p>
        </w:tc>
        <w:tc>
          <w:tcPr>
            <w:tcW w:w="2908" w:type="dxa"/>
            <w:tcBorders>
              <w:top w:val="single" w:color="auto" w:sz="4" w:space="0"/>
              <w:left w:val="nil"/>
              <w:bottom w:val="single" w:color="auto" w:sz="4" w:space="0"/>
              <w:right w:val="single" w:color="auto" w:sz="4" w:space="0"/>
            </w:tcBorders>
            <w:noWrap w:val="0"/>
            <w:vAlign w:val="center"/>
          </w:tcPr>
          <w:p w14:paraId="6D142C7E">
            <w:pPr>
              <w:jc w:val="left"/>
              <w:rPr>
                <w:rFonts w:hint="eastAsia"/>
                <w:color w:val="000000"/>
                <w:sz w:val="15"/>
                <w:szCs w:val="15"/>
                <w:lang w:val="en-US" w:eastAsia="zh-CN"/>
              </w:rPr>
            </w:pPr>
            <w:r>
              <w:rPr>
                <w:rFonts w:hint="eastAsia"/>
                <w:color w:val="000000"/>
                <w:sz w:val="15"/>
                <w:szCs w:val="15"/>
                <w:lang w:val="en-US" w:eastAsia="zh-CN"/>
              </w:rPr>
              <w:t>200mg/6ml；30支/盒</w:t>
            </w:r>
          </w:p>
        </w:tc>
        <w:tc>
          <w:tcPr>
            <w:tcW w:w="532" w:type="dxa"/>
            <w:tcBorders>
              <w:top w:val="single" w:color="auto" w:sz="4" w:space="0"/>
              <w:left w:val="nil"/>
              <w:bottom w:val="single" w:color="auto" w:sz="4" w:space="0"/>
              <w:right w:val="single" w:color="auto" w:sz="4" w:space="0"/>
            </w:tcBorders>
            <w:noWrap/>
            <w:vAlign w:val="center"/>
          </w:tcPr>
          <w:p w14:paraId="2C1888F6">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14:paraId="053677A2">
        <w:tblPrEx>
          <w:tblCellMar>
            <w:top w:w="0" w:type="dxa"/>
            <w:left w:w="108" w:type="dxa"/>
            <w:bottom w:w="0" w:type="dxa"/>
            <w:right w:w="108" w:type="dxa"/>
          </w:tblCellMar>
        </w:tblPrEx>
        <w:trPr>
          <w:trHeight w:val="394" w:hRule="atLeast"/>
          <w:jc w:val="center"/>
        </w:trPr>
        <w:tc>
          <w:tcPr>
            <w:tcW w:w="1235" w:type="dxa"/>
            <w:vMerge w:val="continue"/>
            <w:tcBorders>
              <w:left w:val="single" w:color="auto" w:sz="4" w:space="0"/>
              <w:right w:val="single" w:color="auto" w:sz="4" w:space="0"/>
            </w:tcBorders>
            <w:noWrap/>
            <w:vAlign w:val="center"/>
          </w:tcPr>
          <w:p w14:paraId="146D4776">
            <w:pPr>
              <w:jc w:val="center"/>
              <w:rPr>
                <w:rFonts w:ascii="宋体" w:hAnsi="宋体" w:cs="宋体"/>
                <w:color w:val="000000"/>
                <w:kern w:val="0"/>
                <w:sz w:val="18"/>
                <w:szCs w:val="18"/>
              </w:rPr>
            </w:pPr>
          </w:p>
        </w:tc>
        <w:tc>
          <w:tcPr>
            <w:tcW w:w="3969" w:type="dxa"/>
            <w:tcBorders>
              <w:top w:val="nil"/>
              <w:left w:val="single" w:color="auto" w:sz="4" w:space="0"/>
              <w:bottom w:val="single" w:color="auto" w:sz="4" w:space="0"/>
              <w:right w:val="single" w:color="auto" w:sz="4" w:space="0"/>
            </w:tcBorders>
            <w:noWrap/>
            <w:vAlign w:val="center"/>
          </w:tcPr>
          <w:p w14:paraId="7441D3B3">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Oasis </w:t>
            </w:r>
            <w:r>
              <w:rPr>
                <w:rFonts w:hint="eastAsia" w:ascii="宋体" w:hAnsi="宋体" w:cs="宋体"/>
                <w:color w:val="000000"/>
                <w:kern w:val="0"/>
                <w:sz w:val="18"/>
                <w:szCs w:val="18"/>
                <w:lang w:val="en-US" w:eastAsia="zh-CN"/>
              </w:rPr>
              <w:t xml:space="preserve"> </w:t>
            </w:r>
            <w:r>
              <w:rPr>
                <w:rFonts w:ascii="宋体" w:hAnsi="宋体" w:cs="宋体"/>
                <w:color w:val="000000"/>
                <w:kern w:val="0"/>
                <w:sz w:val="18"/>
                <w:szCs w:val="18"/>
              </w:rPr>
              <w:t>MCX</w:t>
            </w:r>
            <w:r>
              <w:rPr>
                <w:rFonts w:hint="eastAsia" w:ascii="宋体" w:hAnsi="宋体" w:cs="宋体"/>
                <w:color w:val="000000"/>
                <w:kern w:val="0"/>
                <w:sz w:val="18"/>
                <w:szCs w:val="18"/>
              </w:rPr>
              <w:t>固相萃取小柱</w:t>
            </w:r>
          </w:p>
        </w:tc>
        <w:tc>
          <w:tcPr>
            <w:tcW w:w="1185" w:type="dxa"/>
            <w:tcBorders>
              <w:top w:val="nil"/>
              <w:left w:val="nil"/>
              <w:bottom w:val="single" w:color="auto" w:sz="4" w:space="0"/>
              <w:right w:val="single" w:color="auto" w:sz="4" w:space="0"/>
            </w:tcBorders>
            <w:noWrap/>
            <w:vAlign w:val="center"/>
          </w:tcPr>
          <w:p w14:paraId="75E0C664">
            <w:pPr>
              <w:widowControl/>
              <w:jc w:val="center"/>
              <w:rPr>
                <w:rFonts w:ascii="宋体" w:hAnsi="宋体" w:cs="宋体"/>
                <w:color w:val="000000"/>
                <w:kern w:val="0"/>
                <w:sz w:val="18"/>
                <w:szCs w:val="18"/>
              </w:rPr>
            </w:pPr>
            <w:r>
              <w:rPr>
                <w:rFonts w:hint="eastAsia" w:ascii="宋体" w:hAnsi="宋体" w:cs="宋体"/>
                <w:color w:val="000000"/>
                <w:kern w:val="0"/>
                <w:sz w:val="18"/>
                <w:szCs w:val="18"/>
              </w:rPr>
              <w:t>Waters</w:t>
            </w:r>
          </w:p>
        </w:tc>
        <w:tc>
          <w:tcPr>
            <w:tcW w:w="2908" w:type="dxa"/>
            <w:tcBorders>
              <w:top w:val="nil"/>
              <w:left w:val="nil"/>
              <w:bottom w:val="single" w:color="auto" w:sz="4" w:space="0"/>
              <w:right w:val="single" w:color="auto" w:sz="4" w:space="0"/>
            </w:tcBorders>
            <w:noWrap w:val="0"/>
            <w:vAlign w:val="center"/>
          </w:tcPr>
          <w:p w14:paraId="30666FB5">
            <w:pPr>
              <w:jc w:val="left"/>
              <w:rPr>
                <w:rFonts w:hint="eastAsia"/>
                <w:color w:val="000000"/>
                <w:sz w:val="15"/>
                <w:szCs w:val="15"/>
                <w:lang w:val="en-US" w:eastAsia="zh-CN"/>
              </w:rPr>
            </w:pPr>
            <w:r>
              <w:rPr>
                <w:rFonts w:hint="eastAsia"/>
                <w:color w:val="000000"/>
                <w:sz w:val="15"/>
                <w:szCs w:val="15"/>
                <w:lang w:val="en-US" w:eastAsia="zh-CN"/>
              </w:rPr>
              <w:t>150mg/6ml；30支/盒</w:t>
            </w:r>
          </w:p>
        </w:tc>
        <w:tc>
          <w:tcPr>
            <w:tcW w:w="532" w:type="dxa"/>
            <w:tcBorders>
              <w:top w:val="nil"/>
              <w:left w:val="nil"/>
              <w:bottom w:val="single" w:color="auto" w:sz="4" w:space="0"/>
              <w:right w:val="single" w:color="auto" w:sz="4" w:space="0"/>
            </w:tcBorders>
            <w:noWrap/>
            <w:vAlign w:val="center"/>
          </w:tcPr>
          <w:p w14:paraId="204A63E2">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14:paraId="2C813442">
        <w:tblPrEx>
          <w:tblCellMar>
            <w:top w:w="0" w:type="dxa"/>
            <w:left w:w="108" w:type="dxa"/>
            <w:bottom w:w="0" w:type="dxa"/>
            <w:right w:w="108" w:type="dxa"/>
          </w:tblCellMar>
        </w:tblPrEx>
        <w:trPr>
          <w:trHeight w:val="393" w:hRule="atLeast"/>
          <w:jc w:val="center"/>
        </w:trPr>
        <w:tc>
          <w:tcPr>
            <w:tcW w:w="1235" w:type="dxa"/>
            <w:vMerge w:val="continue"/>
            <w:tcBorders>
              <w:left w:val="single" w:color="auto" w:sz="4" w:space="0"/>
              <w:right w:val="single" w:color="auto" w:sz="4" w:space="0"/>
            </w:tcBorders>
            <w:noWrap/>
            <w:vAlign w:val="center"/>
          </w:tcPr>
          <w:p w14:paraId="0D46DE86">
            <w:pPr>
              <w:jc w:val="center"/>
              <w:rPr>
                <w:rFonts w:ascii="宋体" w:hAnsi="宋体" w:cs="宋体"/>
                <w:color w:val="000000"/>
                <w:kern w:val="0"/>
                <w:sz w:val="18"/>
                <w:szCs w:val="18"/>
              </w:rPr>
            </w:pPr>
          </w:p>
        </w:tc>
        <w:tc>
          <w:tcPr>
            <w:tcW w:w="3969" w:type="dxa"/>
            <w:tcBorders>
              <w:top w:val="nil"/>
              <w:left w:val="single" w:color="auto" w:sz="4" w:space="0"/>
              <w:bottom w:val="single" w:color="auto" w:sz="4" w:space="0"/>
              <w:right w:val="single" w:color="auto" w:sz="4" w:space="0"/>
            </w:tcBorders>
            <w:noWrap/>
            <w:vAlign w:val="center"/>
          </w:tcPr>
          <w:p w14:paraId="73818FFC">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Oasis </w:t>
            </w:r>
            <w:r>
              <w:rPr>
                <w:rFonts w:hint="eastAsia" w:ascii="宋体" w:hAnsi="宋体" w:cs="宋体"/>
                <w:color w:val="000000"/>
                <w:kern w:val="0"/>
                <w:sz w:val="18"/>
                <w:szCs w:val="18"/>
                <w:lang w:val="en-US" w:eastAsia="zh-CN"/>
              </w:rPr>
              <w:t xml:space="preserve"> </w:t>
            </w:r>
            <w:r>
              <w:rPr>
                <w:rFonts w:ascii="宋体" w:hAnsi="宋体" w:cs="宋体"/>
                <w:color w:val="000000"/>
                <w:kern w:val="0"/>
                <w:sz w:val="18"/>
                <w:szCs w:val="18"/>
              </w:rPr>
              <w:t>HLB</w:t>
            </w:r>
            <w:r>
              <w:rPr>
                <w:rFonts w:hint="eastAsia" w:ascii="宋体" w:hAnsi="宋体" w:cs="宋体"/>
                <w:color w:val="000000"/>
                <w:kern w:val="0"/>
                <w:sz w:val="18"/>
                <w:szCs w:val="18"/>
              </w:rPr>
              <w:t>固相萃取小柱</w:t>
            </w:r>
          </w:p>
        </w:tc>
        <w:tc>
          <w:tcPr>
            <w:tcW w:w="1185" w:type="dxa"/>
            <w:tcBorders>
              <w:top w:val="nil"/>
              <w:left w:val="nil"/>
              <w:bottom w:val="single" w:color="auto" w:sz="4" w:space="0"/>
              <w:right w:val="single" w:color="auto" w:sz="4" w:space="0"/>
            </w:tcBorders>
            <w:noWrap/>
            <w:vAlign w:val="center"/>
          </w:tcPr>
          <w:p w14:paraId="77C34582">
            <w:pPr>
              <w:widowControl/>
              <w:jc w:val="center"/>
              <w:rPr>
                <w:rFonts w:ascii="宋体" w:hAnsi="宋体" w:cs="宋体"/>
                <w:color w:val="000000"/>
                <w:kern w:val="0"/>
                <w:sz w:val="18"/>
                <w:szCs w:val="18"/>
              </w:rPr>
            </w:pPr>
            <w:r>
              <w:rPr>
                <w:rFonts w:hint="eastAsia" w:ascii="宋体" w:hAnsi="宋体" w:cs="宋体"/>
                <w:color w:val="000000"/>
                <w:kern w:val="0"/>
                <w:sz w:val="18"/>
                <w:szCs w:val="18"/>
              </w:rPr>
              <w:t>Waters</w:t>
            </w:r>
          </w:p>
        </w:tc>
        <w:tc>
          <w:tcPr>
            <w:tcW w:w="2908" w:type="dxa"/>
            <w:tcBorders>
              <w:top w:val="nil"/>
              <w:left w:val="nil"/>
              <w:bottom w:val="single" w:color="auto" w:sz="4" w:space="0"/>
              <w:right w:val="single" w:color="auto" w:sz="4" w:space="0"/>
            </w:tcBorders>
            <w:noWrap w:val="0"/>
            <w:vAlign w:val="center"/>
          </w:tcPr>
          <w:p w14:paraId="436E33FB">
            <w:pPr>
              <w:jc w:val="left"/>
              <w:rPr>
                <w:rFonts w:hint="eastAsia"/>
                <w:color w:val="000000"/>
                <w:sz w:val="15"/>
                <w:szCs w:val="15"/>
                <w:lang w:val="en-US" w:eastAsia="zh-CN"/>
              </w:rPr>
            </w:pPr>
            <w:r>
              <w:rPr>
                <w:rFonts w:hint="eastAsia"/>
                <w:color w:val="000000"/>
                <w:sz w:val="15"/>
                <w:szCs w:val="15"/>
                <w:lang w:val="en-US" w:eastAsia="zh-CN"/>
              </w:rPr>
              <w:t>200mg/6ml；30支/盒</w:t>
            </w:r>
          </w:p>
        </w:tc>
        <w:tc>
          <w:tcPr>
            <w:tcW w:w="532" w:type="dxa"/>
            <w:tcBorders>
              <w:top w:val="nil"/>
              <w:left w:val="nil"/>
              <w:bottom w:val="single" w:color="auto" w:sz="4" w:space="0"/>
              <w:right w:val="single" w:color="auto" w:sz="4" w:space="0"/>
            </w:tcBorders>
            <w:noWrap/>
            <w:vAlign w:val="center"/>
          </w:tcPr>
          <w:p w14:paraId="4CB5F2C0">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14:paraId="25BF5CF4">
        <w:tblPrEx>
          <w:tblCellMar>
            <w:top w:w="0" w:type="dxa"/>
            <w:left w:w="108" w:type="dxa"/>
            <w:bottom w:w="0" w:type="dxa"/>
            <w:right w:w="108" w:type="dxa"/>
          </w:tblCellMar>
        </w:tblPrEx>
        <w:trPr>
          <w:trHeight w:val="429" w:hRule="atLeast"/>
          <w:jc w:val="center"/>
        </w:trPr>
        <w:tc>
          <w:tcPr>
            <w:tcW w:w="1235" w:type="dxa"/>
            <w:vMerge w:val="continue"/>
            <w:tcBorders>
              <w:left w:val="single" w:color="auto" w:sz="4" w:space="0"/>
              <w:right w:val="single" w:color="auto" w:sz="4" w:space="0"/>
            </w:tcBorders>
            <w:noWrap/>
            <w:vAlign w:val="center"/>
          </w:tcPr>
          <w:p w14:paraId="347A471D">
            <w:pPr>
              <w:jc w:val="center"/>
              <w:rPr>
                <w:rFonts w:ascii="宋体" w:hAnsi="宋体" w:cs="宋体"/>
                <w:color w:val="000000"/>
                <w:kern w:val="0"/>
                <w:sz w:val="18"/>
                <w:szCs w:val="18"/>
              </w:rPr>
            </w:pPr>
          </w:p>
        </w:tc>
        <w:tc>
          <w:tcPr>
            <w:tcW w:w="3969" w:type="dxa"/>
            <w:tcBorders>
              <w:top w:val="nil"/>
              <w:left w:val="single" w:color="auto" w:sz="4" w:space="0"/>
              <w:bottom w:val="single" w:color="auto" w:sz="4" w:space="0"/>
              <w:right w:val="single" w:color="auto" w:sz="4" w:space="0"/>
            </w:tcBorders>
            <w:noWrap/>
            <w:vAlign w:val="center"/>
          </w:tcPr>
          <w:p w14:paraId="525DDDA0">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Oasis </w:t>
            </w:r>
            <w:r>
              <w:rPr>
                <w:rFonts w:hint="eastAsia" w:ascii="宋体" w:hAnsi="宋体" w:cs="宋体"/>
                <w:color w:val="000000"/>
                <w:kern w:val="0"/>
                <w:sz w:val="18"/>
                <w:szCs w:val="18"/>
                <w:lang w:val="en-US" w:eastAsia="zh-CN"/>
              </w:rPr>
              <w:t xml:space="preserve"> </w:t>
            </w:r>
            <w:r>
              <w:rPr>
                <w:rFonts w:ascii="宋体" w:hAnsi="宋体" w:cs="宋体"/>
                <w:color w:val="000000"/>
                <w:kern w:val="0"/>
                <w:sz w:val="18"/>
                <w:szCs w:val="18"/>
              </w:rPr>
              <w:t>HLB</w:t>
            </w:r>
            <w:r>
              <w:rPr>
                <w:rFonts w:hint="eastAsia" w:ascii="宋体" w:hAnsi="宋体" w:cs="宋体"/>
                <w:color w:val="000000"/>
                <w:kern w:val="0"/>
                <w:sz w:val="18"/>
                <w:szCs w:val="18"/>
              </w:rPr>
              <w:t>固相萃取小柱</w:t>
            </w:r>
          </w:p>
        </w:tc>
        <w:tc>
          <w:tcPr>
            <w:tcW w:w="1185" w:type="dxa"/>
            <w:tcBorders>
              <w:top w:val="nil"/>
              <w:left w:val="nil"/>
              <w:bottom w:val="single" w:color="auto" w:sz="4" w:space="0"/>
              <w:right w:val="single" w:color="auto" w:sz="4" w:space="0"/>
            </w:tcBorders>
            <w:noWrap/>
            <w:vAlign w:val="center"/>
          </w:tcPr>
          <w:p w14:paraId="21DD17AE">
            <w:pPr>
              <w:widowControl/>
              <w:jc w:val="center"/>
              <w:rPr>
                <w:rFonts w:ascii="宋体" w:hAnsi="宋体" w:cs="宋体"/>
                <w:color w:val="000000"/>
                <w:kern w:val="0"/>
                <w:sz w:val="18"/>
                <w:szCs w:val="18"/>
              </w:rPr>
            </w:pPr>
            <w:r>
              <w:rPr>
                <w:rFonts w:hint="eastAsia" w:ascii="宋体" w:hAnsi="宋体" w:cs="宋体"/>
                <w:color w:val="000000"/>
                <w:kern w:val="0"/>
                <w:sz w:val="18"/>
                <w:szCs w:val="18"/>
              </w:rPr>
              <w:t>Waters</w:t>
            </w:r>
          </w:p>
        </w:tc>
        <w:tc>
          <w:tcPr>
            <w:tcW w:w="2908" w:type="dxa"/>
            <w:tcBorders>
              <w:top w:val="nil"/>
              <w:left w:val="nil"/>
              <w:bottom w:val="single" w:color="auto" w:sz="4" w:space="0"/>
              <w:right w:val="single" w:color="auto" w:sz="4" w:space="0"/>
            </w:tcBorders>
            <w:noWrap w:val="0"/>
            <w:vAlign w:val="center"/>
          </w:tcPr>
          <w:p w14:paraId="2D66CA42">
            <w:pPr>
              <w:jc w:val="left"/>
              <w:rPr>
                <w:rFonts w:hint="eastAsia"/>
                <w:color w:val="000000"/>
                <w:sz w:val="15"/>
                <w:szCs w:val="15"/>
                <w:lang w:val="en-US" w:eastAsia="zh-CN"/>
              </w:rPr>
            </w:pPr>
            <w:r>
              <w:rPr>
                <w:rFonts w:hint="eastAsia"/>
                <w:color w:val="000000"/>
                <w:sz w:val="15"/>
                <w:szCs w:val="15"/>
                <w:lang w:val="en-US" w:eastAsia="zh-CN"/>
              </w:rPr>
              <w:t>60mg/3ml；100支/盒</w:t>
            </w:r>
          </w:p>
        </w:tc>
        <w:tc>
          <w:tcPr>
            <w:tcW w:w="532" w:type="dxa"/>
            <w:tcBorders>
              <w:top w:val="nil"/>
              <w:left w:val="nil"/>
              <w:bottom w:val="single" w:color="auto" w:sz="4" w:space="0"/>
              <w:right w:val="single" w:color="auto" w:sz="4" w:space="0"/>
            </w:tcBorders>
            <w:noWrap/>
            <w:vAlign w:val="center"/>
          </w:tcPr>
          <w:p w14:paraId="4444AD46">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14:paraId="0907DE78">
        <w:tblPrEx>
          <w:tblCellMar>
            <w:top w:w="0" w:type="dxa"/>
            <w:left w:w="108" w:type="dxa"/>
            <w:bottom w:w="0" w:type="dxa"/>
            <w:right w:w="108" w:type="dxa"/>
          </w:tblCellMar>
        </w:tblPrEx>
        <w:trPr>
          <w:trHeight w:val="382" w:hRule="atLeast"/>
          <w:jc w:val="center"/>
        </w:trPr>
        <w:tc>
          <w:tcPr>
            <w:tcW w:w="1235" w:type="dxa"/>
            <w:vMerge w:val="continue"/>
            <w:tcBorders>
              <w:left w:val="single" w:color="auto" w:sz="4" w:space="0"/>
              <w:right w:val="single" w:color="auto" w:sz="4" w:space="0"/>
            </w:tcBorders>
            <w:noWrap/>
            <w:vAlign w:val="center"/>
          </w:tcPr>
          <w:p w14:paraId="37A35CDE">
            <w:pPr>
              <w:jc w:val="center"/>
              <w:rPr>
                <w:rFonts w:ascii="宋体" w:hAnsi="宋体" w:cs="宋体"/>
                <w:color w:val="000000"/>
                <w:kern w:val="0"/>
                <w:sz w:val="18"/>
                <w:szCs w:val="18"/>
              </w:rPr>
            </w:pPr>
          </w:p>
        </w:tc>
        <w:tc>
          <w:tcPr>
            <w:tcW w:w="3969" w:type="dxa"/>
            <w:tcBorders>
              <w:top w:val="nil"/>
              <w:left w:val="single" w:color="auto" w:sz="4" w:space="0"/>
              <w:bottom w:val="single" w:color="auto" w:sz="4" w:space="0"/>
              <w:right w:val="single" w:color="auto" w:sz="4" w:space="0"/>
            </w:tcBorders>
            <w:noWrap/>
            <w:vAlign w:val="center"/>
          </w:tcPr>
          <w:p w14:paraId="29BCAB09">
            <w:pPr>
              <w:widowControl/>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fldChar w:fldCharType="begin"/>
            </w:r>
            <w:r>
              <w:rPr>
                <w:rFonts w:hint="eastAsia" w:ascii="宋体" w:hAnsi="宋体" w:cs="宋体"/>
                <w:color w:val="000000"/>
                <w:kern w:val="0"/>
                <w:sz w:val="18"/>
                <w:szCs w:val="18"/>
                <w:lang w:val="en-US" w:eastAsia="zh-CN"/>
              </w:rPr>
              <w:instrText xml:space="preserve"> HYPERLINK "https://www.waters.com/nextgen/cn/zh/shop/sample-preparation--filtration/wat054945-sep-pak-c18-3-cc-vac-cartridge-200-mg-sorbent-per-cartridge-55--.html" </w:instrText>
            </w:r>
            <w:r>
              <w:rPr>
                <w:rFonts w:hint="eastAsia" w:ascii="宋体" w:hAnsi="宋体" w:cs="宋体"/>
                <w:color w:val="000000"/>
                <w:kern w:val="0"/>
                <w:sz w:val="18"/>
                <w:szCs w:val="18"/>
                <w:lang w:val="en-US" w:eastAsia="zh-CN"/>
              </w:rPr>
              <w:fldChar w:fldCharType="separate"/>
            </w:r>
            <w:r>
              <w:rPr>
                <w:rFonts w:hint="eastAsia" w:ascii="宋体" w:hAnsi="宋体" w:cs="宋体"/>
                <w:color w:val="000000"/>
                <w:kern w:val="0"/>
                <w:sz w:val="18"/>
                <w:szCs w:val="18"/>
              </w:rPr>
              <w:t>Sep-Pak</w:t>
            </w:r>
            <w:r>
              <w:rPr>
                <w:rFonts w:hint="eastAsia" w:ascii="宋体" w:hAnsi="宋体" w:cs="宋体"/>
                <w:color w:val="000000"/>
                <w:kern w:val="0"/>
                <w:sz w:val="18"/>
                <w:szCs w:val="18"/>
                <w:lang w:val="en-US" w:eastAsia="zh-CN"/>
              </w:rPr>
              <w:fldChar w:fldCharType="end"/>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C18固相萃取小柱</w:t>
            </w:r>
          </w:p>
        </w:tc>
        <w:tc>
          <w:tcPr>
            <w:tcW w:w="1185" w:type="dxa"/>
            <w:tcBorders>
              <w:top w:val="nil"/>
              <w:left w:val="nil"/>
              <w:bottom w:val="single" w:color="auto" w:sz="4" w:space="0"/>
              <w:right w:val="single" w:color="auto" w:sz="4" w:space="0"/>
            </w:tcBorders>
            <w:noWrap/>
            <w:vAlign w:val="center"/>
          </w:tcPr>
          <w:p w14:paraId="03F5C283">
            <w:pPr>
              <w:widowControl/>
              <w:jc w:val="center"/>
              <w:rPr>
                <w:rFonts w:ascii="宋体" w:hAnsi="宋体" w:cs="宋体"/>
                <w:color w:val="000000"/>
                <w:kern w:val="0"/>
                <w:sz w:val="18"/>
                <w:szCs w:val="18"/>
              </w:rPr>
            </w:pPr>
            <w:r>
              <w:rPr>
                <w:rFonts w:hint="eastAsia" w:ascii="宋体" w:hAnsi="宋体" w:cs="宋体"/>
                <w:color w:val="000000"/>
                <w:kern w:val="0"/>
                <w:sz w:val="18"/>
                <w:szCs w:val="18"/>
              </w:rPr>
              <w:t>Waters</w:t>
            </w:r>
          </w:p>
        </w:tc>
        <w:tc>
          <w:tcPr>
            <w:tcW w:w="2908" w:type="dxa"/>
            <w:tcBorders>
              <w:top w:val="nil"/>
              <w:left w:val="nil"/>
              <w:bottom w:val="single" w:color="auto" w:sz="4" w:space="0"/>
              <w:right w:val="single" w:color="auto" w:sz="4" w:space="0"/>
            </w:tcBorders>
            <w:noWrap w:val="0"/>
            <w:vAlign w:val="center"/>
          </w:tcPr>
          <w:p w14:paraId="3FD7C692">
            <w:pPr>
              <w:jc w:val="left"/>
              <w:rPr>
                <w:rFonts w:hint="eastAsia"/>
                <w:color w:val="000000"/>
                <w:sz w:val="15"/>
                <w:szCs w:val="15"/>
                <w:lang w:val="en-US" w:eastAsia="zh-CN"/>
              </w:rPr>
            </w:pPr>
            <w:r>
              <w:rPr>
                <w:rFonts w:hint="eastAsia"/>
                <w:color w:val="000000"/>
                <w:sz w:val="15"/>
                <w:szCs w:val="15"/>
                <w:lang w:val="en-US" w:eastAsia="zh-CN"/>
              </w:rPr>
              <w:t>200mg/3ml；50支/盒</w:t>
            </w:r>
          </w:p>
        </w:tc>
        <w:tc>
          <w:tcPr>
            <w:tcW w:w="532" w:type="dxa"/>
            <w:tcBorders>
              <w:top w:val="nil"/>
              <w:left w:val="nil"/>
              <w:bottom w:val="single" w:color="auto" w:sz="4" w:space="0"/>
              <w:right w:val="single" w:color="auto" w:sz="4" w:space="0"/>
            </w:tcBorders>
            <w:noWrap/>
            <w:vAlign w:val="center"/>
          </w:tcPr>
          <w:p w14:paraId="415C72BC">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14:paraId="548D4C38">
        <w:tblPrEx>
          <w:tblCellMar>
            <w:top w:w="0" w:type="dxa"/>
            <w:left w:w="108" w:type="dxa"/>
            <w:bottom w:w="0" w:type="dxa"/>
            <w:right w:w="108" w:type="dxa"/>
          </w:tblCellMar>
        </w:tblPrEx>
        <w:trPr>
          <w:trHeight w:val="418" w:hRule="atLeast"/>
          <w:jc w:val="center"/>
        </w:trPr>
        <w:tc>
          <w:tcPr>
            <w:tcW w:w="1235" w:type="dxa"/>
            <w:vMerge w:val="continue"/>
            <w:tcBorders>
              <w:left w:val="single" w:color="auto" w:sz="4" w:space="0"/>
              <w:bottom w:val="single" w:color="auto" w:sz="4" w:space="0"/>
              <w:right w:val="single" w:color="auto" w:sz="4" w:space="0"/>
            </w:tcBorders>
            <w:noWrap/>
            <w:vAlign w:val="center"/>
          </w:tcPr>
          <w:p w14:paraId="7ECB0364">
            <w:pPr>
              <w:jc w:val="center"/>
              <w:rPr>
                <w:rFonts w:ascii="宋体" w:hAnsi="宋体" w:cs="宋体"/>
                <w:color w:val="000000"/>
                <w:kern w:val="0"/>
                <w:sz w:val="18"/>
                <w:szCs w:val="18"/>
              </w:rPr>
            </w:pPr>
          </w:p>
        </w:tc>
        <w:tc>
          <w:tcPr>
            <w:tcW w:w="3969" w:type="dxa"/>
            <w:tcBorders>
              <w:top w:val="nil"/>
              <w:left w:val="single" w:color="auto" w:sz="4" w:space="0"/>
              <w:bottom w:val="single" w:color="auto" w:sz="4" w:space="0"/>
              <w:right w:val="single" w:color="auto" w:sz="4" w:space="0"/>
            </w:tcBorders>
            <w:noWrap/>
            <w:vAlign w:val="center"/>
          </w:tcPr>
          <w:p w14:paraId="5DBCFEC8">
            <w:pPr>
              <w:widowControl/>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fldChar w:fldCharType="begin"/>
            </w:r>
            <w:r>
              <w:rPr>
                <w:rFonts w:hint="eastAsia" w:ascii="宋体" w:hAnsi="宋体" w:cs="宋体"/>
                <w:color w:val="000000"/>
                <w:kern w:val="0"/>
                <w:sz w:val="18"/>
                <w:szCs w:val="18"/>
                <w:lang w:val="en-US" w:eastAsia="zh-CN"/>
              </w:rPr>
              <w:instrText xml:space="preserve"> HYPERLINK "https://www.waters.com/nextgen/cn/zh/shop/sample-preparation--filtration/wat054945-sep-pak-c18-3-cc-vac-cartridge-200-mg-sorbent-per-cartridge-55--.html" </w:instrText>
            </w:r>
            <w:r>
              <w:rPr>
                <w:rFonts w:hint="eastAsia" w:ascii="宋体" w:hAnsi="宋体" w:cs="宋体"/>
                <w:color w:val="000000"/>
                <w:kern w:val="0"/>
                <w:sz w:val="18"/>
                <w:szCs w:val="18"/>
                <w:lang w:val="en-US" w:eastAsia="zh-CN"/>
              </w:rPr>
              <w:fldChar w:fldCharType="separate"/>
            </w:r>
            <w:r>
              <w:rPr>
                <w:rFonts w:hint="eastAsia" w:ascii="宋体" w:hAnsi="宋体" w:cs="宋体"/>
                <w:color w:val="000000"/>
                <w:kern w:val="0"/>
                <w:sz w:val="18"/>
                <w:szCs w:val="18"/>
              </w:rPr>
              <w:t>Sep-Pak</w:t>
            </w:r>
            <w:r>
              <w:rPr>
                <w:rFonts w:hint="eastAsia" w:ascii="宋体" w:hAnsi="宋体" w:cs="宋体"/>
                <w:color w:val="000000"/>
                <w:kern w:val="0"/>
                <w:sz w:val="18"/>
                <w:szCs w:val="18"/>
                <w:lang w:val="en-US" w:eastAsia="zh-CN"/>
              </w:rPr>
              <w:fldChar w:fldCharType="end"/>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C18固相萃取小柱</w:t>
            </w:r>
          </w:p>
        </w:tc>
        <w:tc>
          <w:tcPr>
            <w:tcW w:w="1185" w:type="dxa"/>
            <w:tcBorders>
              <w:top w:val="nil"/>
              <w:left w:val="nil"/>
              <w:bottom w:val="single" w:color="auto" w:sz="4" w:space="0"/>
              <w:right w:val="single" w:color="auto" w:sz="4" w:space="0"/>
            </w:tcBorders>
            <w:noWrap/>
            <w:vAlign w:val="center"/>
          </w:tcPr>
          <w:p w14:paraId="78E1CFA9">
            <w:pPr>
              <w:widowControl/>
              <w:jc w:val="center"/>
              <w:rPr>
                <w:rFonts w:ascii="宋体" w:hAnsi="宋体" w:cs="宋体"/>
                <w:color w:val="000000"/>
                <w:kern w:val="0"/>
                <w:sz w:val="18"/>
                <w:szCs w:val="18"/>
              </w:rPr>
            </w:pPr>
            <w:r>
              <w:rPr>
                <w:rFonts w:hint="eastAsia" w:ascii="宋体" w:hAnsi="宋体" w:cs="宋体"/>
                <w:color w:val="000000"/>
                <w:kern w:val="0"/>
                <w:sz w:val="18"/>
                <w:szCs w:val="18"/>
              </w:rPr>
              <w:t>Waters</w:t>
            </w:r>
          </w:p>
        </w:tc>
        <w:tc>
          <w:tcPr>
            <w:tcW w:w="2908" w:type="dxa"/>
            <w:tcBorders>
              <w:top w:val="nil"/>
              <w:left w:val="nil"/>
              <w:bottom w:val="single" w:color="auto" w:sz="4" w:space="0"/>
              <w:right w:val="single" w:color="auto" w:sz="4" w:space="0"/>
            </w:tcBorders>
            <w:noWrap w:val="0"/>
            <w:vAlign w:val="center"/>
          </w:tcPr>
          <w:p w14:paraId="1B8477A7">
            <w:pPr>
              <w:jc w:val="left"/>
              <w:rPr>
                <w:rFonts w:hint="eastAsia"/>
                <w:color w:val="000000"/>
                <w:sz w:val="15"/>
                <w:szCs w:val="15"/>
                <w:lang w:val="en-US" w:eastAsia="zh-CN"/>
              </w:rPr>
            </w:pPr>
            <w:r>
              <w:rPr>
                <w:rFonts w:hint="eastAsia"/>
                <w:color w:val="000000"/>
                <w:sz w:val="15"/>
                <w:szCs w:val="15"/>
                <w:lang w:val="en-US" w:eastAsia="zh-CN"/>
              </w:rPr>
              <w:t>500mg/6 ml；30支/盒</w:t>
            </w:r>
          </w:p>
        </w:tc>
        <w:tc>
          <w:tcPr>
            <w:tcW w:w="532" w:type="dxa"/>
            <w:tcBorders>
              <w:top w:val="nil"/>
              <w:left w:val="nil"/>
              <w:bottom w:val="single" w:color="auto" w:sz="4" w:space="0"/>
              <w:right w:val="single" w:color="auto" w:sz="4" w:space="0"/>
            </w:tcBorders>
            <w:noWrap/>
            <w:vAlign w:val="center"/>
          </w:tcPr>
          <w:p w14:paraId="05359C20">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14:paraId="7A4C1F14">
        <w:tblPrEx>
          <w:tblCellMar>
            <w:top w:w="0" w:type="dxa"/>
            <w:left w:w="108" w:type="dxa"/>
            <w:bottom w:w="0" w:type="dxa"/>
            <w:right w:w="108" w:type="dxa"/>
          </w:tblCellMar>
        </w:tblPrEx>
        <w:trPr>
          <w:trHeight w:val="427" w:hRule="atLeast"/>
          <w:jc w:val="center"/>
        </w:trPr>
        <w:tc>
          <w:tcPr>
            <w:tcW w:w="1235" w:type="dxa"/>
            <w:vMerge w:val="restart"/>
            <w:tcBorders>
              <w:top w:val="single" w:color="auto" w:sz="4" w:space="0"/>
              <w:left w:val="single" w:color="auto" w:sz="4" w:space="0"/>
              <w:right w:val="single" w:color="auto" w:sz="4" w:space="0"/>
            </w:tcBorders>
            <w:noWrap/>
            <w:vAlign w:val="center"/>
          </w:tcPr>
          <w:p w14:paraId="5FAFAD98">
            <w:pPr>
              <w:jc w:val="center"/>
              <w:rPr>
                <w:rFonts w:ascii="宋体" w:hAnsi="宋体" w:cs="宋体"/>
                <w:color w:val="000000"/>
                <w:kern w:val="0"/>
                <w:sz w:val="18"/>
                <w:szCs w:val="18"/>
              </w:rPr>
            </w:pPr>
            <w:r>
              <w:rPr>
                <w:rFonts w:hint="eastAsia" w:ascii="宋体" w:hAnsi="宋体" w:cs="宋体"/>
                <w:color w:val="000000"/>
                <w:kern w:val="0"/>
                <w:sz w:val="18"/>
                <w:szCs w:val="18"/>
              </w:rPr>
              <w:t>分包3</w:t>
            </w:r>
          </w:p>
          <w:p w14:paraId="19C74673">
            <w:pPr>
              <w:jc w:val="center"/>
              <w:rPr>
                <w:rFonts w:ascii="宋体" w:hAnsi="宋体" w:cs="宋体"/>
                <w:color w:val="000000"/>
                <w:kern w:val="0"/>
                <w:sz w:val="18"/>
                <w:szCs w:val="18"/>
              </w:rPr>
            </w:pPr>
            <w:r>
              <w:rPr>
                <w:rFonts w:hint="eastAsia" w:ascii="宋体" w:hAnsi="宋体" w:cs="宋体"/>
                <w:color w:val="000000"/>
                <w:kern w:val="0"/>
                <w:sz w:val="18"/>
                <w:szCs w:val="18"/>
              </w:rPr>
              <w:t>(色谱柱)</w:t>
            </w:r>
          </w:p>
        </w:tc>
        <w:tc>
          <w:tcPr>
            <w:tcW w:w="3969" w:type="dxa"/>
            <w:tcBorders>
              <w:top w:val="single" w:color="auto" w:sz="4" w:space="0"/>
              <w:left w:val="single" w:color="auto" w:sz="4" w:space="0"/>
              <w:right w:val="single" w:color="auto" w:sz="4" w:space="0"/>
            </w:tcBorders>
            <w:noWrap/>
            <w:vAlign w:val="center"/>
          </w:tcPr>
          <w:p w14:paraId="6FAB889D">
            <w:pPr>
              <w:widowControl/>
              <w:jc w:val="left"/>
              <w:rPr>
                <w:rFonts w:ascii="宋体" w:hAnsi="宋体" w:cs="宋体"/>
                <w:color w:val="000000"/>
                <w:kern w:val="0"/>
                <w:sz w:val="18"/>
                <w:szCs w:val="18"/>
              </w:rPr>
            </w:pPr>
            <w:r>
              <w:rPr>
                <w:rFonts w:ascii="宋体" w:hAnsi="宋体" w:cs="宋体"/>
                <w:color w:val="000000"/>
                <w:kern w:val="0"/>
                <w:sz w:val="18"/>
                <w:szCs w:val="18"/>
              </w:rPr>
              <w:t xml:space="preserve">ACQUITY </w:t>
            </w:r>
            <w:r>
              <w:rPr>
                <w:rFonts w:hint="eastAsia" w:ascii="宋体" w:hAnsi="宋体" w:cs="宋体"/>
                <w:color w:val="000000"/>
                <w:kern w:val="0"/>
                <w:sz w:val="18"/>
                <w:szCs w:val="18"/>
                <w:lang w:val="en-US" w:eastAsia="zh-CN"/>
              </w:rPr>
              <w:t xml:space="preserve">UPLC </w:t>
            </w:r>
            <w:r>
              <w:rPr>
                <w:rFonts w:ascii="宋体" w:hAnsi="宋体" w:cs="宋体"/>
                <w:color w:val="000000"/>
                <w:kern w:val="0"/>
                <w:sz w:val="18"/>
                <w:szCs w:val="18"/>
              </w:rPr>
              <w:t>BEH C18 1.7</w:t>
            </w:r>
            <w:r>
              <w:rPr>
                <w:rFonts w:hint="eastAsia"/>
                <w:color w:val="000000"/>
                <w:sz w:val="15"/>
                <w:szCs w:val="15"/>
                <w:lang w:val="en-US" w:eastAsia="zh-CN"/>
              </w:rPr>
              <w:t>µ</w:t>
            </w:r>
            <w:r>
              <w:rPr>
                <w:rFonts w:hint="eastAsia" w:ascii="宋体" w:hAnsi="宋体" w:cs="宋体"/>
                <w:color w:val="000000"/>
                <w:kern w:val="0"/>
                <w:sz w:val="18"/>
                <w:szCs w:val="18"/>
                <w:lang w:val="en-US" w:eastAsia="zh-CN"/>
              </w:rPr>
              <w:t>m</w:t>
            </w:r>
            <w:r>
              <w:rPr>
                <w:rFonts w:ascii="宋体" w:hAnsi="宋体" w:cs="宋体"/>
                <w:color w:val="000000"/>
                <w:kern w:val="0"/>
                <w:sz w:val="18"/>
                <w:szCs w:val="18"/>
              </w:rPr>
              <w:t xml:space="preserve"> VANGUARD 预柱</w:t>
            </w:r>
          </w:p>
        </w:tc>
        <w:tc>
          <w:tcPr>
            <w:tcW w:w="1185" w:type="dxa"/>
            <w:tcBorders>
              <w:top w:val="single" w:color="auto" w:sz="4" w:space="0"/>
              <w:left w:val="nil"/>
              <w:right w:val="single" w:color="auto" w:sz="4" w:space="0"/>
            </w:tcBorders>
            <w:noWrap/>
            <w:vAlign w:val="center"/>
          </w:tcPr>
          <w:p w14:paraId="4889DA13">
            <w:pPr>
              <w:widowControl/>
              <w:jc w:val="center"/>
              <w:rPr>
                <w:rFonts w:ascii="宋体" w:hAnsi="宋体" w:cs="宋体"/>
                <w:color w:val="000000"/>
                <w:kern w:val="0"/>
                <w:sz w:val="18"/>
                <w:szCs w:val="18"/>
              </w:rPr>
            </w:pPr>
            <w:r>
              <w:rPr>
                <w:rFonts w:hint="eastAsia" w:ascii="宋体" w:hAnsi="宋体" w:cs="宋体"/>
                <w:color w:val="000000"/>
                <w:kern w:val="0"/>
                <w:sz w:val="18"/>
                <w:szCs w:val="18"/>
              </w:rPr>
              <w:t>Waters</w:t>
            </w:r>
          </w:p>
        </w:tc>
        <w:tc>
          <w:tcPr>
            <w:tcW w:w="2908" w:type="dxa"/>
            <w:tcBorders>
              <w:top w:val="single" w:color="auto" w:sz="4" w:space="0"/>
              <w:left w:val="nil"/>
              <w:right w:val="single" w:color="auto" w:sz="4" w:space="0"/>
            </w:tcBorders>
            <w:noWrap w:val="0"/>
            <w:vAlign w:val="center"/>
          </w:tcPr>
          <w:p w14:paraId="48D37731">
            <w:pPr>
              <w:jc w:val="left"/>
              <w:rPr>
                <w:rFonts w:hint="default"/>
                <w:color w:val="000000"/>
                <w:sz w:val="15"/>
                <w:szCs w:val="15"/>
                <w:lang w:val="en-US" w:eastAsia="zh-CN"/>
              </w:rPr>
            </w:pPr>
            <w:r>
              <w:rPr>
                <w:rFonts w:hint="eastAsia"/>
                <w:color w:val="000000"/>
                <w:sz w:val="15"/>
                <w:szCs w:val="15"/>
                <w:lang w:val="en-US" w:eastAsia="zh-CN"/>
              </w:rPr>
              <w:t>3支/盒 1.7um，2.1</w:t>
            </w:r>
            <w:r>
              <w:rPr>
                <w:rFonts w:hint="default" w:ascii="Arial" w:hAnsi="Arial" w:cs="Arial"/>
                <w:color w:val="000000"/>
                <w:sz w:val="15"/>
                <w:szCs w:val="15"/>
                <w:lang w:val="en-US" w:eastAsia="zh-CN"/>
              </w:rPr>
              <w:t>×</w:t>
            </w:r>
            <w:r>
              <w:rPr>
                <w:rFonts w:hint="eastAsia"/>
                <w:color w:val="000000"/>
                <w:sz w:val="15"/>
                <w:szCs w:val="15"/>
                <w:lang w:val="en-US" w:eastAsia="zh-CN"/>
              </w:rPr>
              <w:t>5mm</w:t>
            </w:r>
          </w:p>
        </w:tc>
        <w:tc>
          <w:tcPr>
            <w:tcW w:w="532" w:type="dxa"/>
            <w:tcBorders>
              <w:top w:val="single" w:color="auto" w:sz="4" w:space="0"/>
              <w:left w:val="nil"/>
              <w:bottom w:val="single" w:color="auto" w:sz="4" w:space="0"/>
              <w:right w:val="single" w:color="auto" w:sz="4" w:space="0"/>
            </w:tcBorders>
            <w:noWrap/>
            <w:vAlign w:val="center"/>
          </w:tcPr>
          <w:p w14:paraId="2B0D5C27">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14:paraId="36AAD0BB">
        <w:tblPrEx>
          <w:tblCellMar>
            <w:top w:w="0" w:type="dxa"/>
            <w:left w:w="108" w:type="dxa"/>
            <w:bottom w:w="0" w:type="dxa"/>
            <w:right w:w="108" w:type="dxa"/>
          </w:tblCellMar>
        </w:tblPrEx>
        <w:trPr>
          <w:trHeight w:val="458" w:hRule="atLeast"/>
          <w:jc w:val="center"/>
        </w:trPr>
        <w:tc>
          <w:tcPr>
            <w:tcW w:w="1235" w:type="dxa"/>
            <w:vMerge w:val="continue"/>
            <w:tcBorders>
              <w:left w:val="single" w:color="auto" w:sz="4" w:space="0"/>
              <w:right w:val="single" w:color="auto" w:sz="4" w:space="0"/>
            </w:tcBorders>
            <w:noWrap/>
            <w:vAlign w:val="center"/>
          </w:tcPr>
          <w:p w14:paraId="05FA186D">
            <w:pPr>
              <w:jc w:val="center"/>
              <w:rPr>
                <w:rFonts w:ascii="宋体" w:hAnsi="宋体" w:cs="宋体"/>
                <w:color w:val="000000"/>
                <w:kern w:val="0"/>
                <w:sz w:val="18"/>
                <w:szCs w:val="18"/>
              </w:rPr>
            </w:pPr>
          </w:p>
        </w:tc>
        <w:tc>
          <w:tcPr>
            <w:tcW w:w="3969" w:type="dxa"/>
            <w:tcBorders>
              <w:top w:val="single" w:color="auto" w:sz="4" w:space="0"/>
              <w:left w:val="single" w:color="auto" w:sz="4" w:space="0"/>
              <w:bottom w:val="single" w:color="auto" w:sz="4" w:space="0"/>
              <w:right w:val="single" w:color="auto" w:sz="4" w:space="0"/>
            </w:tcBorders>
            <w:noWrap/>
            <w:vAlign w:val="center"/>
          </w:tcPr>
          <w:p w14:paraId="69CCAA4F">
            <w:pPr>
              <w:widowControl/>
              <w:jc w:val="left"/>
              <w:rPr>
                <w:rFonts w:ascii="宋体" w:hAnsi="宋体" w:cs="宋体"/>
                <w:color w:val="000000"/>
                <w:kern w:val="0"/>
                <w:sz w:val="18"/>
                <w:szCs w:val="18"/>
              </w:rPr>
            </w:pPr>
            <w:r>
              <w:rPr>
                <w:rFonts w:ascii="宋体" w:hAnsi="宋体" w:cs="宋体"/>
                <w:color w:val="000000"/>
                <w:kern w:val="0"/>
                <w:sz w:val="18"/>
                <w:szCs w:val="18"/>
              </w:rPr>
              <w:t xml:space="preserve">ACQUITY </w:t>
            </w:r>
            <w:r>
              <w:rPr>
                <w:rFonts w:hint="eastAsia" w:ascii="宋体" w:hAnsi="宋体" w:cs="宋体"/>
                <w:color w:val="000000"/>
                <w:kern w:val="0"/>
                <w:sz w:val="18"/>
                <w:szCs w:val="18"/>
                <w:lang w:val="en-US" w:eastAsia="zh-CN"/>
              </w:rPr>
              <w:t>UPLC HSS</w:t>
            </w:r>
            <w:r>
              <w:rPr>
                <w:rFonts w:ascii="宋体" w:hAnsi="宋体" w:cs="宋体"/>
                <w:color w:val="000000"/>
                <w:kern w:val="0"/>
                <w:sz w:val="18"/>
                <w:szCs w:val="18"/>
              </w:rPr>
              <w:t xml:space="preserve"> </w:t>
            </w:r>
            <w:r>
              <w:rPr>
                <w:rFonts w:hint="eastAsia" w:ascii="宋体" w:hAnsi="宋体" w:cs="宋体"/>
                <w:color w:val="000000"/>
                <w:kern w:val="0"/>
                <w:sz w:val="18"/>
                <w:szCs w:val="18"/>
                <w:lang w:val="en-US" w:eastAsia="zh-CN"/>
              </w:rPr>
              <w:t>T3</w:t>
            </w:r>
            <w:r>
              <w:rPr>
                <w:rFonts w:ascii="宋体" w:hAnsi="宋体" w:cs="宋体"/>
                <w:color w:val="000000"/>
                <w:kern w:val="0"/>
                <w:sz w:val="18"/>
                <w:szCs w:val="18"/>
              </w:rPr>
              <w:t xml:space="preserve"> 1.</w:t>
            </w:r>
            <w:r>
              <w:rPr>
                <w:rFonts w:hint="eastAsia" w:ascii="宋体" w:hAnsi="宋体" w:cs="宋体"/>
                <w:color w:val="000000"/>
                <w:kern w:val="0"/>
                <w:sz w:val="18"/>
                <w:szCs w:val="18"/>
                <w:lang w:val="en-US" w:eastAsia="zh-CN"/>
              </w:rPr>
              <w:t>8</w:t>
            </w:r>
            <w:r>
              <w:rPr>
                <w:rFonts w:hint="eastAsia"/>
                <w:color w:val="000000"/>
                <w:sz w:val="15"/>
                <w:szCs w:val="15"/>
                <w:lang w:val="en-US" w:eastAsia="zh-CN"/>
              </w:rPr>
              <w:t>µ</w:t>
            </w:r>
            <w:r>
              <w:rPr>
                <w:rFonts w:hint="eastAsia" w:ascii="宋体" w:hAnsi="宋体" w:cs="宋体"/>
                <w:color w:val="000000"/>
                <w:kern w:val="0"/>
                <w:sz w:val="18"/>
                <w:szCs w:val="18"/>
                <w:lang w:val="en-US" w:eastAsia="zh-CN"/>
              </w:rPr>
              <w:t>m</w:t>
            </w:r>
            <w:r>
              <w:rPr>
                <w:rFonts w:ascii="宋体" w:hAnsi="宋体" w:cs="宋体"/>
                <w:color w:val="000000"/>
                <w:kern w:val="0"/>
                <w:sz w:val="18"/>
                <w:szCs w:val="18"/>
              </w:rPr>
              <w:t xml:space="preserve"> VANGUARD 预柱</w:t>
            </w:r>
          </w:p>
        </w:tc>
        <w:tc>
          <w:tcPr>
            <w:tcW w:w="1185" w:type="dxa"/>
            <w:tcBorders>
              <w:top w:val="single" w:color="auto" w:sz="4" w:space="0"/>
              <w:left w:val="nil"/>
              <w:bottom w:val="single" w:color="auto" w:sz="4" w:space="0"/>
              <w:right w:val="single" w:color="auto" w:sz="4" w:space="0"/>
            </w:tcBorders>
            <w:noWrap/>
            <w:vAlign w:val="center"/>
          </w:tcPr>
          <w:p w14:paraId="16EFE53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Waters</w:t>
            </w:r>
          </w:p>
        </w:tc>
        <w:tc>
          <w:tcPr>
            <w:tcW w:w="2908" w:type="dxa"/>
            <w:tcBorders>
              <w:top w:val="single" w:color="auto" w:sz="4" w:space="0"/>
              <w:left w:val="nil"/>
              <w:bottom w:val="single" w:color="auto" w:sz="4" w:space="0"/>
              <w:right w:val="single" w:color="auto" w:sz="4" w:space="0"/>
            </w:tcBorders>
            <w:noWrap w:val="0"/>
            <w:vAlign w:val="center"/>
          </w:tcPr>
          <w:p w14:paraId="6B871D59">
            <w:pPr>
              <w:jc w:val="left"/>
              <w:rPr>
                <w:rFonts w:hint="default"/>
                <w:color w:val="000000"/>
                <w:sz w:val="15"/>
                <w:szCs w:val="15"/>
                <w:lang w:val="en-US" w:eastAsia="zh-CN"/>
              </w:rPr>
            </w:pPr>
            <w:r>
              <w:rPr>
                <w:rFonts w:hint="eastAsia"/>
                <w:color w:val="000000"/>
                <w:sz w:val="15"/>
                <w:szCs w:val="15"/>
                <w:lang w:val="en-US" w:eastAsia="zh-CN"/>
              </w:rPr>
              <w:t>3支/盒 1.8um， 2.1</w:t>
            </w:r>
            <w:r>
              <w:rPr>
                <w:rFonts w:hint="default" w:ascii="Arial" w:hAnsi="Arial" w:cs="Arial"/>
                <w:color w:val="000000"/>
                <w:sz w:val="15"/>
                <w:szCs w:val="15"/>
                <w:lang w:val="en-US" w:eastAsia="zh-CN"/>
              </w:rPr>
              <w:t>×</w:t>
            </w:r>
            <w:r>
              <w:rPr>
                <w:rFonts w:hint="eastAsia"/>
                <w:color w:val="000000"/>
                <w:sz w:val="15"/>
                <w:szCs w:val="15"/>
                <w:lang w:val="en-US" w:eastAsia="zh-CN"/>
              </w:rPr>
              <w:t>5mm</w:t>
            </w:r>
          </w:p>
        </w:tc>
        <w:tc>
          <w:tcPr>
            <w:tcW w:w="532" w:type="dxa"/>
            <w:tcBorders>
              <w:top w:val="single" w:color="auto" w:sz="4" w:space="0"/>
              <w:left w:val="nil"/>
              <w:bottom w:val="single" w:color="auto" w:sz="4" w:space="0"/>
              <w:right w:val="single" w:color="auto" w:sz="4" w:space="0"/>
            </w:tcBorders>
            <w:noWrap/>
            <w:vAlign w:val="center"/>
          </w:tcPr>
          <w:p w14:paraId="26AB9AB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盒</w:t>
            </w:r>
          </w:p>
        </w:tc>
      </w:tr>
      <w:tr w14:paraId="5C879F39">
        <w:tblPrEx>
          <w:tblCellMar>
            <w:top w:w="0" w:type="dxa"/>
            <w:left w:w="108" w:type="dxa"/>
            <w:bottom w:w="0" w:type="dxa"/>
            <w:right w:w="108" w:type="dxa"/>
          </w:tblCellMar>
        </w:tblPrEx>
        <w:trPr>
          <w:trHeight w:val="447" w:hRule="atLeast"/>
          <w:jc w:val="center"/>
        </w:trPr>
        <w:tc>
          <w:tcPr>
            <w:tcW w:w="1235" w:type="dxa"/>
            <w:vMerge w:val="continue"/>
            <w:tcBorders>
              <w:left w:val="single" w:color="auto" w:sz="4" w:space="0"/>
              <w:right w:val="single" w:color="auto" w:sz="4" w:space="0"/>
            </w:tcBorders>
            <w:noWrap/>
            <w:vAlign w:val="center"/>
          </w:tcPr>
          <w:p w14:paraId="0DECFE76">
            <w:pPr>
              <w:jc w:val="center"/>
              <w:rPr>
                <w:rFonts w:ascii="宋体" w:hAnsi="宋体" w:cs="宋体"/>
                <w:color w:val="000000"/>
                <w:kern w:val="0"/>
                <w:sz w:val="18"/>
                <w:szCs w:val="18"/>
              </w:rPr>
            </w:pPr>
          </w:p>
        </w:tc>
        <w:tc>
          <w:tcPr>
            <w:tcW w:w="3969" w:type="dxa"/>
            <w:tcBorders>
              <w:top w:val="single" w:color="auto" w:sz="4" w:space="0"/>
              <w:left w:val="single" w:color="auto" w:sz="4" w:space="0"/>
              <w:bottom w:val="single" w:color="auto" w:sz="4" w:space="0"/>
              <w:right w:val="single" w:color="auto" w:sz="4" w:space="0"/>
            </w:tcBorders>
            <w:noWrap/>
            <w:vAlign w:val="center"/>
          </w:tcPr>
          <w:p w14:paraId="51A69EB1">
            <w:pPr>
              <w:widowControl/>
              <w:jc w:val="left"/>
              <w:rPr>
                <w:rFonts w:ascii="宋体" w:hAnsi="宋体" w:eastAsia="宋体" w:cs="宋体"/>
                <w:color w:val="000000"/>
                <w:kern w:val="0"/>
                <w:sz w:val="18"/>
                <w:szCs w:val="18"/>
                <w:lang w:val="en-US" w:eastAsia="zh-CN" w:bidi="ar-SA"/>
              </w:rPr>
            </w:pPr>
            <w:r>
              <w:rPr>
                <w:rFonts w:ascii="宋体" w:hAnsi="宋体" w:cs="宋体"/>
                <w:color w:val="000000"/>
                <w:kern w:val="0"/>
                <w:sz w:val="18"/>
                <w:szCs w:val="18"/>
              </w:rPr>
              <w:t>ACQUITY UPLC BEH C18</w:t>
            </w:r>
            <w:r>
              <w:rPr>
                <w:rFonts w:hint="eastAsia" w:ascii="宋体" w:hAnsi="宋体" w:cs="宋体"/>
                <w:color w:val="000000"/>
                <w:kern w:val="0"/>
                <w:sz w:val="18"/>
                <w:szCs w:val="18"/>
                <w:lang w:val="en-US" w:eastAsia="zh-CN"/>
              </w:rPr>
              <w:t>色谱柱</w:t>
            </w:r>
          </w:p>
        </w:tc>
        <w:tc>
          <w:tcPr>
            <w:tcW w:w="1185" w:type="dxa"/>
            <w:tcBorders>
              <w:top w:val="single" w:color="auto" w:sz="4" w:space="0"/>
              <w:left w:val="nil"/>
              <w:bottom w:val="single" w:color="auto" w:sz="4" w:space="0"/>
              <w:right w:val="single" w:color="auto" w:sz="4" w:space="0"/>
            </w:tcBorders>
            <w:noWrap/>
            <w:vAlign w:val="center"/>
          </w:tcPr>
          <w:p w14:paraId="1C4E0629">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Waters</w:t>
            </w:r>
          </w:p>
        </w:tc>
        <w:tc>
          <w:tcPr>
            <w:tcW w:w="2908" w:type="dxa"/>
            <w:tcBorders>
              <w:top w:val="single" w:color="auto" w:sz="4" w:space="0"/>
              <w:left w:val="nil"/>
              <w:bottom w:val="single" w:color="auto" w:sz="4" w:space="0"/>
              <w:right w:val="single" w:color="auto" w:sz="4" w:space="0"/>
            </w:tcBorders>
            <w:noWrap w:val="0"/>
            <w:vAlign w:val="center"/>
          </w:tcPr>
          <w:p w14:paraId="4C7E5929">
            <w:pPr>
              <w:jc w:val="left"/>
              <w:rPr>
                <w:rFonts w:hint="eastAsia" w:ascii="Times New Roman" w:hAnsi="Times New Roman" w:eastAsia="宋体" w:cs="Times New Roman"/>
                <w:color w:val="000000"/>
                <w:kern w:val="2"/>
                <w:sz w:val="15"/>
                <w:szCs w:val="15"/>
                <w:lang w:val="en-US" w:eastAsia="zh-CN" w:bidi="ar-SA"/>
              </w:rPr>
            </w:pPr>
            <w:r>
              <w:rPr>
                <w:rFonts w:hint="eastAsia"/>
                <w:color w:val="000000"/>
                <w:sz w:val="15"/>
                <w:szCs w:val="15"/>
                <w:lang w:val="en-US" w:eastAsia="zh-CN"/>
              </w:rPr>
              <w:t>1.7µm, 2.1</w:t>
            </w:r>
            <w:r>
              <w:rPr>
                <w:rFonts w:hint="default" w:ascii="Arial" w:hAnsi="Arial" w:cs="Arial"/>
                <w:color w:val="000000"/>
                <w:sz w:val="15"/>
                <w:szCs w:val="15"/>
                <w:lang w:val="en-US" w:eastAsia="zh-CN"/>
              </w:rPr>
              <w:t>×</w:t>
            </w:r>
            <w:r>
              <w:rPr>
                <w:rFonts w:hint="eastAsia"/>
                <w:color w:val="000000"/>
                <w:sz w:val="15"/>
                <w:szCs w:val="15"/>
                <w:lang w:val="en-US" w:eastAsia="zh-CN"/>
              </w:rPr>
              <w:t>50mm</w:t>
            </w:r>
          </w:p>
        </w:tc>
        <w:tc>
          <w:tcPr>
            <w:tcW w:w="532" w:type="dxa"/>
            <w:tcBorders>
              <w:top w:val="single" w:color="auto" w:sz="4" w:space="0"/>
              <w:left w:val="nil"/>
              <w:bottom w:val="single" w:color="auto" w:sz="4" w:space="0"/>
              <w:right w:val="single" w:color="auto" w:sz="4" w:space="0"/>
            </w:tcBorders>
            <w:noWrap/>
            <w:vAlign w:val="center"/>
          </w:tcPr>
          <w:p w14:paraId="4F237716">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支</w:t>
            </w:r>
          </w:p>
        </w:tc>
      </w:tr>
      <w:tr w14:paraId="510A789D">
        <w:tblPrEx>
          <w:tblCellMar>
            <w:top w:w="0" w:type="dxa"/>
            <w:left w:w="108" w:type="dxa"/>
            <w:bottom w:w="0" w:type="dxa"/>
            <w:right w:w="108" w:type="dxa"/>
          </w:tblCellMar>
        </w:tblPrEx>
        <w:trPr>
          <w:trHeight w:val="405" w:hRule="atLeast"/>
          <w:jc w:val="center"/>
        </w:trPr>
        <w:tc>
          <w:tcPr>
            <w:tcW w:w="1235" w:type="dxa"/>
            <w:vMerge w:val="continue"/>
            <w:tcBorders>
              <w:left w:val="single" w:color="auto" w:sz="4" w:space="0"/>
              <w:right w:val="single" w:color="auto" w:sz="4" w:space="0"/>
            </w:tcBorders>
            <w:noWrap/>
            <w:vAlign w:val="center"/>
          </w:tcPr>
          <w:p w14:paraId="138568CA">
            <w:pPr>
              <w:jc w:val="center"/>
              <w:rPr>
                <w:rFonts w:ascii="宋体" w:hAnsi="宋体" w:cs="宋体"/>
                <w:color w:val="000000"/>
                <w:kern w:val="0"/>
                <w:sz w:val="18"/>
                <w:szCs w:val="18"/>
              </w:rPr>
            </w:pPr>
          </w:p>
        </w:tc>
        <w:tc>
          <w:tcPr>
            <w:tcW w:w="3969" w:type="dxa"/>
            <w:tcBorders>
              <w:top w:val="single" w:color="auto" w:sz="4" w:space="0"/>
              <w:left w:val="single" w:color="auto" w:sz="4" w:space="0"/>
              <w:right w:val="single" w:color="auto" w:sz="4" w:space="0"/>
            </w:tcBorders>
            <w:noWrap/>
            <w:vAlign w:val="center"/>
          </w:tcPr>
          <w:p w14:paraId="1A29E749">
            <w:pPr>
              <w:widowControl/>
              <w:jc w:val="left"/>
              <w:rPr>
                <w:rFonts w:hint="default" w:ascii="宋体" w:hAnsi="宋体" w:cs="宋体"/>
                <w:color w:val="000000"/>
                <w:kern w:val="0"/>
                <w:sz w:val="18"/>
                <w:szCs w:val="18"/>
                <w:lang w:val="en-US"/>
              </w:rPr>
            </w:pPr>
            <w:r>
              <w:rPr>
                <w:rFonts w:ascii="宋体" w:hAnsi="宋体" w:cs="宋体"/>
                <w:color w:val="000000"/>
                <w:kern w:val="0"/>
                <w:sz w:val="18"/>
                <w:szCs w:val="18"/>
              </w:rPr>
              <w:t xml:space="preserve">ACQUITY UPLC </w:t>
            </w:r>
            <w:r>
              <w:rPr>
                <w:rFonts w:hint="eastAsia" w:ascii="宋体" w:hAnsi="宋体" w:cs="宋体"/>
                <w:color w:val="000000"/>
                <w:kern w:val="0"/>
                <w:sz w:val="18"/>
                <w:szCs w:val="18"/>
                <w:lang w:val="en-US" w:eastAsia="zh-CN"/>
              </w:rPr>
              <w:t>HSS</w:t>
            </w:r>
            <w:r>
              <w:rPr>
                <w:rFonts w:ascii="宋体" w:hAnsi="宋体" w:cs="宋体"/>
                <w:color w:val="000000"/>
                <w:kern w:val="0"/>
                <w:sz w:val="18"/>
                <w:szCs w:val="18"/>
              </w:rPr>
              <w:t xml:space="preserve"> </w:t>
            </w:r>
            <w:r>
              <w:rPr>
                <w:rFonts w:hint="eastAsia" w:ascii="宋体" w:hAnsi="宋体" w:cs="宋体"/>
                <w:color w:val="000000"/>
                <w:kern w:val="0"/>
                <w:sz w:val="18"/>
                <w:szCs w:val="18"/>
                <w:lang w:val="en-US" w:eastAsia="zh-CN"/>
              </w:rPr>
              <w:t>T3 色谱柱</w:t>
            </w:r>
          </w:p>
        </w:tc>
        <w:tc>
          <w:tcPr>
            <w:tcW w:w="1185" w:type="dxa"/>
            <w:tcBorders>
              <w:top w:val="single" w:color="auto" w:sz="4" w:space="0"/>
              <w:left w:val="nil"/>
              <w:right w:val="single" w:color="auto" w:sz="4" w:space="0"/>
            </w:tcBorders>
            <w:noWrap/>
            <w:vAlign w:val="center"/>
          </w:tcPr>
          <w:p w14:paraId="7696BA6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Waters</w:t>
            </w:r>
          </w:p>
        </w:tc>
        <w:tc>
          <w:tcPr>
            <w:tcW w:w="2908" w:type="dxa"/>
            <w:tcBorders>
              <w:top w:val="single" w:color="auto" w:sz="4" w:space="0"/>
              <w:left w:val="nil"/>
              <w:right w:val="single" w:color="auto" w:sz="4" w:space="0"/>
            </w:tcBorders>
            <w:noWrap w:val="0"/>
            <w:vAlign w:val="center"/>
          </w:tcPr>
          <w:p w14:paraId="410E0291">
            <w:pPr>
              <w:jc w:val="left"/>
              <w:rPr>
                <w:rFonts w:hint="eastAsia" w:ascii="Times New Roman" w:hAnsi="Times New Roman" w:eastAsia="宋体" w:cs="Times New Roman"/>
                <w:color w:val="000000"/>
                <w:kern w:val="2"/>
                <w:sz w:val="15"/>
                <w:szCs w:val="15"/>
                <w:lang w:val="en-US" w:eastAsia="zh-CN" w:bidi="ar-SA"/>
              </w:rPr>
            </w:pPr>
            <w:r>
              <w:rPr>
                <w:rFonts w:hint="eastAsia"/>
                <w:color w:val="000000"/>
                <w:sz w:val="15"/>
                <w:szCs w:val="15"/>
                <w:lang w:val="en-US" w:eastAsia="zh-CN"/>
              </w:rPr>
              <w:t>1.8µm, 2.1</w:t>
            </w:r>
            <w:r>
              <w:rPr>
                <w:rFonts w:hint="default" w:ascii="Arial" w:hAnsi="Arial" w:cs="Arial"/>
                <w:color w:val="000000"/>
                <w:sz w:val="15"/>
                <w:szCs w:val="15"/>
                <w:lang w:val="en-US" w:eastAsia="zh-CN"/>
              </w:rPr>
              <w:t>×</w:t>
            </w:r>
            <w:r>
              <w:rPr>
                <w:rFonts w:hint="eastAsia"/>
                <w:color w:val="000000"/>
                <w:sz w:val="15"/>
                <w:szCs w:val="15"/>
                <w:lang w:val="en-US" w:eastAsia="zh-CN"/>
              </w:rPr>
              <w:t>100mm</w:t>
            </w:r>
          </w:p>
        </w:tc>
        <w:tc>
          <w:tcPr>
            <w:tcW w:w="532" w:type="dxa"/>
            <w:tcBorders>
              <w:top w:val="single" w:color="auto" w:sz="4" w:space="0"/>
              <w:left w:val="nil"/>
              <w:bottom w:val="single" w:color="auto" w:sz="4" w:space="0"/>
              <w:right w:val="single" w:color="auto" w:sz="4" w:space="0"/>
            </w:tcBorders>
            <w:noWrap/>
            <w:vAlign w:val="center"/>
          </w:tcPr>
          <w:p w14:paraId="4A415B6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支</w:t>
            </w:r>
          </w:p>
        </w:tc>
      </w:tr>
      <w:tr w14:paraId="1861B4A7">
        <w:tblPrEx>
          <w:tblCellMar>
            <w:top w:w="0" w:type="dxa"/>
            <w:left w:w="108" w:type="dxa"/>
            <w:bottom w:w="0" w:type="dxa"/>
            <w:right w:w="108" w:type="dxa"/>
          </w:tblCellMar>
        </w:tblPrEx>
        <w:trPr>
          <w:trHeight w:val="384" w:hRule="atLeast"/>
          <w:jc w:val="center"/>
        </w:trPr>
        <w:tc>
          <w:tcPr>
            <w:tcW w:w="1235" w:type="dxa"/>
            <w:vMerge w:val="restart"/>
            <w:tcBorders>
              <w:top w:val="single" w:color="auto" w:sz="4" w:space="0"/>
              <w:left w:val="single" w:color="auto" w:sz="4" w:space="0"/>
              <w:right w:val="single" w:color="auto" w:sz="4" w:space="0"/>
            </w:tcBorders>
            <w:noWrap/>
            <w:vAlign w:val="center"/>
          </w:tcPr>
          <w:p w14:paraId="52F9C445">
            <w:pPr>
              <w:jc w:val="center"/>
              <w:rPr>
                <w:rFonts w:ascii="宋体" w:cs="宋体"/>
                <w:color w:val="000000"/>
                <w:kern w:val="0"/>
                <w:sz w:val="18"/>
                <w:szCs w:val="18"/>
              </w:rPr>
            </w:pPr>
            <w:r>
              <w:rPr>
                <w:rFonts w:hint="eastAsia" w:ascii="宋体" w:cs="宋体"/>
                <w:color w:val="000000"/>
                <w:kern w:val="0"/>
                <w:sz w:val="18"/>
                <w:szCs w:val="18"/>
              </w:rPr>
              <w:t>分包4</w:t>
            </w:r>
          </w:p>
          <w:p w14:paraId="2C799687">
            <w:pPr>
              <w:jc w:val="center"/>
              <w:rPr>
                <w:rFonts w:ascii="宋体" w:cs="宋体"/>
                <w:color w:val="000000"/>
                <w:kern w:val="0"/>
                <w:sz w:val="18"/>
                <w:szCs w:val="18"/>
              </w:rPr>
            </w:pPr>
            <w:r>
              <w:rPr>
                <w:rFonts w:hint="eastAsia" w:ascii="宋体" w:cs="宋体"/>
                <w:color w:val="000000"/>
                <w:kern w:val="0"/>
                <w:sz w:val="18"/>
                <w:szCs w:val="18"/>
              </w:rPr>
              <w:t>(进样瓶)</w:t>
            </w:r>
          </w:p>
        </w:tc>
        <w:tc>
          <w:tcPr>
            <w:tcW w:w="3969" w:type="dxa"/>
            <w:tcBorders>
              <w:top w:val="single" w:color="auto" w:sz="4" w:space="0"/>
              <w:left w:val="single" w:color="auto" w:sz="4" w:space="0"/>
              <w:bottom w:val="single" w:color="auto" w:sz="4" w:space="0"/>
              <w:right w:val="single" w:color="auto" w:sz="4" w:space="0"/>
            </w:tcBorders>
            <w:noWrap/>
            <w:vAlign w:val="center"/>
          </w:tcPr>
          <w:p w14:paraId="56B45519">
            <w:pPr>
              <w:widowControl/>
              <w:jc w:val="left"/>
              <w:rPr>
                <w:rFonts w:hint="eastAsia" w:ascii="宋体" w:hAnsi="宋体" w:eastAsia="宋体" w:cs="宋体"/>
                <w:color w:val="000000"/>
                <w:kern w:val="0"/>
                <w:sz w:val="18"/>
                <w:szCs w:val="18"/>
                <w:lang w:eastAsia="zh-CN"/>
              </w:rPr>
            </w:pPr>
            <w:r>
              <w:rPr>
                <w:rFonts w:ascii="宋体" w:hAnsi="宋体" w:cs="宋体"/>
                <w:color w:val="000000"/>
                <w:kern w:val="0"/>
                <w:sz w:val="18"/>
                <w:szCs w:val="18"/>
              </w:rPr>
              <w:t>2ml</w:t>
            </w:r>
            <w:r>
              <w:rPr>
                <w:rFonts w:hint="eastAsia" w:ascii="宋体" w:hAnsi="宋体" w:cs="宋体"/>
                <w:color w:val="000000"/>
                <w:kern w:val="0"/>
                <w:sz w:val="18"/>
                <w:szCs w:val="18"/>
              </w:rPr>
              <w:t>进样瓶</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透明</w:t>
            </w:r>
            <w:r>
              <w:rPr>
                <w:rFonts w:hint="eastAsia" w:ascii="宋体" w:hAnsi="宋体" w:cs="宋体"/>
                <w:color w:val="000000"/>
                <w:kern w:val="0"/>
                <w:sz w:val="18"/>
                <w:szCs w:val="18"/>
                <w:lang w:eastAsia="zh-CN"/>
              </w:rPr>
              <w:t>）</w:t>
            </w:r>
            <w:r>
              <w:rPr>
                <w:rFonts w:ascii="宋体" w:hAnsi="宋体" w:cs="宋体"/>
                <w:color w:val="000000"/>
                <w:kern w:val="0"/>
                <w:sz w:val="18"/>
                <w:szCs w:val="18"/>
              </w:rPr>
              <w:t>+</w:t>
            </w:r>
            <w:r>
              <w:rPr>
                <w:rFonts w:hint="eastAsia" w:ascii="宋体" w:hAnsi="宋体" w:cs="宋体"/>
                <w:color w:val="000000"/>
                <w:kern w:val="0"/>
                <w:sz w:val="18"/>
                <w:szCs w:val="18"/>
              </w:rPr>
              <w:t>瓶盖</w:t>
            </w:r>
            <w:r>
              <w:rPr>
                <w:rFonts w:ascii="宋体" w:hAnsi="宋体" w:cs="宋体"/>
                <w:color w:val="000000"/>
                <w:kern w:val="0"/>
                <w:sz w:val="18"/>
                <w:szCs w:val="18"/>
              </w:rPr>
              <w:t>+</w:t>
            </w:r>
            <w:r>
              <w:rPr>
                <w:rFonts w:hint="eastAsia" w:ascii="宋体" w:hAnsi="宋体" w:cs="宋体"/>
                <w:color w:val="000000"/>
                <w:kern w:val="0"/>
                <w:sz w:val="18"/>
                <w:szCs w:val="18"/>
              </w:rPr>
              <w:t>瓶垫</w:t>
            </w:r>
          </w:p>
        </w:tc>
        <w:tc>
          <w:tcPr>
            <w:tcW w:w="1185" w:type="dxa"/>
            <w:tcBorders>
              <w:top w:val="single" w:color="auto" w:sz="4" w:space="0"/>
              <w:left w:val="nil"/>
              <w:bottom w:val="single" w:color="auto" w:sz="4" w:space="0"/>
              <w:right w:val="single" w:color="auto" w:sz="4" w:space="0"/>
            </w:tcBorders>
            <w:noWrap/>
            <w:vAlign w:val="center"/>
          </w:tcPr>
          <w:p w14:paraId="4402AA60">
            <w:pPr>
              <w:widowControl/>
              <w:jc w:val="center"/>
              <w:rPr>
                <w:rFonts w:ascii="宋体" w:hAnsi="宋体" w:cs="宋体"/>
                <w:color w:val="000000"/>
                <w:kern w:val="0"/>
                <w:sz w:val="18"/>
                <w:szCs w:val="18"/>
              </w:rPr>
            </w:pPr>
            <w:r>
              <w:rPr>
                <w:rFonts w:hint="eastAsia" w:ascii="宋体" w:hAnsi="宋体" w:cs="宋体"/>
                <w:color w:val="000000"/>
                <w:kern w:val="0"/>
                <w:sz w:val="18"/>
                <w:szCs w:val="18"/>
              </w:rPr>
              <w:t>Waters</w:t>
            </w:r>
          </w:p>
        </w:tc>
        <w:tc>
          <w:tcPr>
            <w:tcW w:w="2908" w:type="dxa"/>
            <w:tcBorders>
              <w:top w:val="single" w:color="auto" w:sz="4" w:space="0"/>
              <w:left w:val="nil"/>
              <w:bottom w:val="single" w:color="auto" w:sz="4" w:space="0"/>
              <w:right w:val="single" w:color="auto" w:sz="4" w:space="0"/>
            </w:tcBorders>
            <w:noWrap w:val="0"/>
            <w:vAlign w:val="center"/>
          </w:tcPr>
          <w:p w14:paraId="0A9FDA7B">
            <w:pPr>
              <w:jc w:val="left"/>
              <w:rPr>
                <w:rFonts w:hint="eastAsia"/>
                <w:color w:val="000000"/>
                <w:sz w:val="15"/>
                <w:szCs w:val="15"/>
                <w:lang w:val="en-US" w:eastAsia="zh-CN"/>
              </w:rPr>
            </w:pPr>
            <w:r>
              <w:rPr>
                <w:rFonts w:hint="eastAsia"/>
                <w:color w:val="000000"/>
                <w:sz w:val="15"/>
                <w:szCs w:val="15"/>
                <w:lang w:val="en-US" w:eastAsia="zh-CN"/>
              </w:rPr>
              <w:t>12</w:t>
            </w:r>
            <w:r>
              <w:rPr>
                <w:rFonts w:hint="default" w:ascii="Arial" w:hAnsi="Arial" w:cs="Arial"/>
                <w:color w:val="000000"/>
                <w:sz w:val="15"/>
                <w:szCs w:val="15"/>
                <w:lang w:val="en-US" w:eastAsia="zh-CN"/>
              </w:rPr>
              <w:t>×</w:t>
            </w:r>
            <w:r>
              <w:rPr>
                <w:rFonts w:hint="eastAsia"/>
                <w:color w:val="000000"/>
                <w:sz w:val="15"/>
                <w:szCs w:val="15"/>
                <w:lang w:val="en-US" w:eastAsia="zh-CN"/>
              </w:rPr>
              <w:t>32mm,2ml，预切口PTFE/Silicone材质盖垫，100个/盒</w:t>
            </w:r>
          </w:p>
        </w:tc>
        <w:tc>
          <w:tcPr>
            <w:tcW w:w="532" w:type="dxa"/>
            <w:tcBorders>
              <w:top w:val="single" w:color="auto" w:sz="4" w:space="0"/>
              <w:left w:val="nil"/>
              <w:bottom w:val="single" w:color="auto" w:sz="4" w:space="0"/>
              <w:right w:val="single" w:color="auto" w:sz="4" w:space="0"/>
            </w:tcBorders>
            <w:noWrap/>
            <w:vAlign w:val="center"/>
          </w:tcPr>
          <w:p w14:paraId="5379DAAE">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14:paraId="0D34AA61">
        <w:tblPrEx>
          <w:tblCellMar>
            <w:top w:w="0" w:type="dxa"/>
            <w:left w:w="108" w:type="dxa"/>
            <w:bottom w:w="0" w:type="dxa"/>
            <w:right w:w="108" w:type="dxa"/>
          </w:tblCellMar>
        </w:tblPrEx>
        <w:trPr>
          <w:trHeight w:val="407" w:hRule="atLeast"/>
          <w:jc w:val="center"/>
        </w:trPr>
        <w:tc>
          <w:tcPr>
            <w:tcW w:w="1235" w:type="dxa"/>
            <w:vMerge w:val="continue"/>
            <w:tcBorders>
              <w:left w:val="single" w:color="auto" w:sz="4" w:space="0"/>
              <w:right w:val="single" w:color="auto" w:sz="4" w:space="0"/>
            </w:tcBorders>
            <w:noWrap/>
            <w:vAlign w:val="center"/>
          </w:tcPr>
          <w:p w14:paraId="073346CA">
            <w:pPr>
              <w:jc w:val="center"/>
              <w:rPr>
                <w:rFonts w:ascii="宋体" w:cs="宋体"/>
                <w:color w:val="000000"/>
                <w:kern w:val="0"/>
                <w:sz w:val="18"/>
                <w:szCs w:val="18"/>
              </w:rPr>
            </w:pPr>
          </w:p>
        </w:tc>
        <w:tc>
          <w:tcPr>
            <w:tcW w:w="3969" w:type="dxa"/>
            <w:tcBorders>
              <w:top w:val="nil"/>
              <w:left w:val="single" w:color="auto" w:sz="4" w:space="0"/>
              <w:bottom w:val="single" w:color="auto" w:sz="4" w:space="0"/>
              <w:right w:val="single" w:color="auto" w:sz="4" w:space="0"/>
            </w:tcBorders>
            <w:noWrap/>
            <w:vAlign w:val="center"/>
          </w:tcPr>
          <w:p w14:paraId="1EFAA598">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r>
              <w:rPr>
                <w:rFonts w:ascii="宋体" w:hAnsi="宋体" w:cs="宋体"/>
                <w:color w:val="000000"/>
                <w:kern w:val="0"/>
                <w:sz w:val="18"/>
                <w:szCs w:val="18"/>
              </w:rPr>
              <w:t>ml</w:t>
            </w:r>
            <w:r>
              <w:rPr>
                <w:rFonts w:hint="eastAsia" w:ascii="宋体" w:hAnsi="宋体" w:cs="宋体"/>
                <w:color w:val="000000"/>
                <w:kern w:val="0"/>
                <w:sz w:val="18"/>
                <w:szCs w:val="18"/>
              </w:rPr>
              <w:t>进样瓶</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棕色</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瓶盖</w:t>
            </w:r>
            <w:r>
              <w:rPr>
                <w:rFonts w:ascii="宋体" w:hAnsi="宋体" w:cs="宋体"/>
                <w:color w:val="000000"/>
                <w:kern w:val="0"/>
                <w:sz w:val="18"/>
                <w:szCs w:val="18"/>
              </w:rPr>
              <w:t>+</w:t>
            </w:r>
            <w:r>
              <w:rPr>
                <w:rFonts w:hint="eastAsia" w:ascii="宋体" w:hAnsi="宋体" w:cs="宋体"/>
                <w:color w:val="000000"/>
                <w:kern w:val="0"/>
                <w:sz w:val="18"/>
                <w:szCs w:val="18"/>
              </w:rPr>
              <w:t>瓶垫</w:t>
            </w:r>
          </w:p>
        </w:tc>
        <w:tc>
          <w:tcPr>
            <w:tcW w:w="1185" w:type="dxa"/>
            <w:tcBorders>
              <w:top w:val="nil"/>
              <w:left w:val="nil"/>
              <w:bottom w:val="single" w:color="auto" w:sz="4" w:space="0"/>
              <w:right w:val="single" w:color="auto" w:sz="4" w:space="0"/>
            </w:tcBorders>
            <w:noWrap/>
            <w:vAlign w:val="center"/>
          </w:tcPr>
          <w:p w14:paraId="1E0BFE1A">
            <w:pPr>
              <w:widowControl/>
              <w:jc w:val="center"/>
              <w:rPr>
                <w:rFonts w:ascii="宋体" w:hAnsi="宋体" w:cs="宋体"/>
                <w:color w:val="000000"/>
                <w:kern w:val="0"/>
                <w:sz w:val="18"/>
                <w:szCs w:val="18"/>
              </w:rPr>
            </w:pPr>
            <w:r>
              <w:rPr>
                <w:rFonts w:hint="eastAsia" w:ascii="宋体" w:hAnsi="宋体" w:cs="宋体"/>
                <w:color w:val="000000"/>
                <w:kern w:val="0"/>
                <w:sz w:val="18"/>
                <w:szCs w:val="18"/>
              </w:rPr>
              <w:t>Waters</w:t>
            </w:r>
          </w:p>
        </w:tc>
        <w:tc>
          <w:tcPr>
            <w:tcW w:w="2908" w:type="dxa"/>
            <w:tcBorders>
              <w:top w:val="nil"/>
              <w:left w:val="nil"/>
              <w:bottom w:val="single" w:color="auto" w:sz="4" w:space="0"/>
              <w:right w:val="single" w:color="auto" w:sz="4" w:space="0"/>
            </w:tcBorders>
            <w:noWrap w:val="0"/>
            <w:vAlign w:val="center"/>
          </w:tcPr>
          <w:p w14:paraId="65A77AED">
            <w:pPr>
              <w:jc w:val="left"/>
              <w:rPr>
                <w:rFonts w:hint="eastAsia"/>
                <w:color w:val="000000"/>
                <w:sz w:val="15"/>
                <w:szCs w:val="15"/>
                <w:lang w:val="en-US" w:eastAsia="zh-CN"/>
              </w:rPr>
            </w:pPr>
            <w:r>
              <w:rPr>
                <w:rFonts w:hint="eastAsia"/>
                <w:color w:val="000000"/>
                <w:sz w:val="15"/>
                <w:szCs w:val="15"/>
                <w:lang w:val="en-US" w:eastAsia="zh-CN"/>
              </w:rPr>
              <w:t>12</w:t>
            </w:r>
            <w:r>
              <w:rPr>
                <w:rFonts w:hint="default" w:ascii="Arial" w:hAnsi="Arial" w:cs="Arial"/>
                <w:color w:val="000000"/>
                <w:sz w:val="15"/>
                <w:szCs w:val="15"/>
                <w:lang w:val="en-US" w:eastAsia="zh-CN"/>
              </w:rPr>
              <w:t>×</w:t>
            </w:r>
            <w:r>
              <w:rPr>
                <w:rFonts w:hint="eastAsia"/>
                <w:color w:val="000000"/>
                <w:sz w:val="15"/>
                <w:szCs w:val="15"/>
                <w:lang w:val="en-US" w:eastAsia="zh-CN"/>
              </w:rPr>
              <w:t>32mm,2ml，预切口PTFE/Silicone材质盖垫，100个/盒</w:t>
            </w:r>
          </w:p>
        </w:tc>
        <w:tc>
          <w:tcPr>
            <w:tcW w:w="532" w:type="dxa"/>
            <w:tcBorders>
              <w:top w:val="nil"/>
              <w:left w:val="nil"/>
              <w:bottom w:val="single" w:color="auto" w:sz="4" w:space="0"/>
              <w:right w:val="single" w:color="auto" w:sz="4" w:space="0"/>
            </w:tcBorders>
            <w:noWrap/>
            <w:vAlign w:val="center"/>
          </w:tcPr>
          <w:p w14:paraId="20E6C922">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14:paraId="3BC1A931">
        <w:tblPrEx>
          <w:tblCellMar>
            <w:top w:w="0" w:type="dxa"/>
            <w:left w:w="108" w:type="dxa"/>
            <w:bottom w:w="0" w:type="dxa"/>
            <w:right w:w="108" w:type="dxa"/>
          </w:tblCellMar>
        </w:tblPrEx>
        <w:trPr>
          <w:trHeight w:val="407" w:hRule="atLeast"/>
          <w:jc w:val="center"/>
        </w:trPr>
        <w:tc>
          <w:tcPr>
            <w:tcW w:w="1235" w:type="dxa"/>
            <w:vMerge w:val="continue"/>
            <w:tcBorders>
              <w:left w:val="single" w:color="auto" w:sz="4" w:space="0"/>
              <w:bottom w:val="single" w:color="auto" w:sz="4" w:space="0"/>
              <w:right w:val="single" w:color="auto" w:sz="4" w:space="0"/>
            </w:tcBorders>
            <w:noWrap/>
            <w:vAlign w:val="center"/>
          </w:tcPr>
          <w:p w14:paraId="11F3F031">
            <w:pPr>
              <w:jc w:val="center"/>
              <w:rPr>
                <w:rFonts w:ascii="宋体" w:cs="宋体"/>
                <w:color w:val="000000"/>
                <w:kern w:val="0"/>
                <w:sz w:val="18"/>
                <w:szCs w:val="18"/>
              </w:rPr>
            </w:pPr>
          </w:p>
        </w:tc>
        <w:tc>
          <w:tcPr>
            <w:tcW w:w="3969" w:type="dxa"/>
            <w:tcBorders>
              <w:top w:val="nil"/>
              <w:left w:val="single" w:color="auto" w:sz="4" w:space="0"/>
              <w:bottom w:val="single" w:color="auto" w:sz="4" w:space="0"/>
              <w:right w:val="single" w:color="auto" w:sz="4" w:space="0"/>
            </w:tcBorders>
            <w:noWrap/>
            <w:vAlign w:val="center"/>
          </w:tcPr>
          <w:p w14:paraId="36C3800D">
            <w:pPr>
              <w:widowControl/>
              <w:jc w:val="left"/>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1ml全部回收进样瓶（透明）+</w:t>
            </w:r>
            <w:r>
              <w:rPr>
                <w:rFonts w:hint="eastAsia" w:ascii="宋体" w:hAnsi="宋体" w:cs="宋体"/>
                <w:color w:val="000000"/>
                <w:kern w:val="0"/>
                <w:sz w:val="18"/>
                <w:szCs w:val="18"/>
              </w:rPr>
              <w:t>瓶盖</w:t>
            </w:r>
            <w:r>
              <w:rPr>
                <w:rFonts w:ascii="宋体" w:hAnsi="宋体" w:cs="宋体"/>
                <w:color w:val="000000"/>
                <w:kern w:val="0"/>
                <w:sz w:val="18"/>
                <w:szCs w:val="18"/>
              </w:rPr>
              <w:t>+</w:t>
            </w:r>
            <w:r>
              <w:rPr>
                <w:rFonts w:hint="eastAsia" w:ascii="宋体" w:hAnsi="宋体" w:cs="宋体"/>
                <w:color w:val="000000"/>
                <w:kern w:val="0"/>
                <w:sz w:val="18"/>
                <w:szCs w:val="18"/>
              </w:rPr>
              <w:t>瓶垫</w:t>
            </w:r>
          </w:p>
        </w:tc>
        <w:tc>
          <w:tcPr>
            <w:tcW w:w="1185" w:type="dxa"/>
            <w:tcBorders>
              <w:top w:val="nil"/>
              <w:left w:val="nil"/>
              <w:bottom w:val="single" w:color="auto" w:sz="4" w:space="0"/>
              <w:right w:val="single" w:color="auto" w:sz="4" w:space="0"/>
            </w:tcBorders>
            <w:noWrap/>
            <w:vAlign w:val="center"/>
          </w:tcPr>
          <w:p w14:paraId="2F8A404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Waters</w:t>
            </w:r>
          </w:p>
        </w:tc>
        <w:tc>
          <w:tcPr>
            <w:tcW w:w="2908" w:type="dxa"/>
            <w:tcBorders>
              <w:top w:val="nil"/>
              <w:left w:val="nil"/>
              <w:bottom w:val="single" w:color="auto" w:sz="4" w:space="0"/>
              <w:right w:val="single" w:color="auto" w:sz="4" w:space="0"/>
            </w:tcBorders>
            <w:noWrap w:val="0"/>
            <w:vAlign w:val="center"/>
          </w:tcPr>
          <w:p w14:paraId="6642A9DC">
            <w:pPr>
              <w:jc w:val="left"/>
              <w:rPr>
                <w:rFonts w:hint="eastAsia"/>
                <w:color w:val="000000"/>
                <w:sz w:val="15"/>
                <w:szCs w:val="15"/>
                <w:lang w:val="en-US" w:eastAsia="zh-CN"/>
              </w:rPr>
            </w:pPr>
            <w:r>
              <w:rPr>
                <w:rFonts w:hint="eastAsia"/>
                <w:color w:val="000000"/>
                <w:sz w:val="15"/>
                <w:szCs w:val="15"/>
                <w:lang w:val="en-US" w:eastAsia="zh-CN"/>
              </w:rPr>
              <w:t>12</w:t>
            </w:r>
            <w:r>
              <w:rPr>
                <w:rFonts w:hint="default" w:ascii="Arial" w:hAnsi="Arial" w:cs="Arial"/>
                <w:color w:val="000000"/>
                <w:sz w:val="15"/>
                <w:szCs w:val="15"/>
                <w:lang w:val="en-US" w:eastAsia="zh-CN"/>
              </w:rPr>
              <w:t>×</w:t>
            </w:r>
            <w:r>
              <w:rPr>
                <w:rFonts w:hint="eastAsia"/>
                <w:color w:val="000000"/>
                <w:sz w:val="15"/>
                <w:szCs w:val="15"/>
                <w:lang w:val="en-US" w:eastAsia="zh-CN"/>
              </w:rPr>
              <w:t>32mm,1ml，预切口PTFE/Silicone材质盖垫，100个/盒</w:t>
            </w:r>
          </w:p>
        </w:tc>
        <w:tc>
          <w:tcPr>
            <w:tcW w:w="532" w:type="dxa"/>
            <w:tcBorders>
              <w:top w:val="nil"/>
              <w:left w:val="nil"/>
              <w:bottom w:val="single" w:color="auto" w:sz="4" w:space="0"/>
              <w:right w:val="single" w:color="auto" w:sz="4" w:space="0"/>
            </w:tcBorders>
            <w:noWrap/>
            <w:vAlign w:val="center"/>
          </w:tcPr>
          <w:p w14:paraId="5BE894BA">
            <w:pPr>
              <w:widowControl/>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盒</w:t>
            </w:r>
          </w:p>
        </w:tc>
      </w:tr>
      <w:tr w14:paraId="0DE361C3">
        <w:tblPrEx>
          <w:tblCellMar>
            <w:top w:w="0" w:type="dxa"/>
            <w:left w:w="108" w:type="dxa"/>
            <w:bottom w:w="0" w:type="dxa"/>
            <w:right w:w="108" w:type="dxa"/>
          </w:tblCellMar>
        </w:tblPrEx>
        <w:trPr>
          <w:trHeight w:val="401" w:hRule="atLeast"/>
          <w:jc w:val="center"/>
        </w:trPr>
        <w:tc>
          <w:tcPr>
            <w:tcW w:w="1235" w:type="dxa"/>
            <w:vMerge w:val="restart"/>
            <w:tcBorders>
              <w:top w:val="single" w:color="auto" w:sz="4" w:space="0"/>
              <w:left w:val="single" w:color="auto" w:sz="4" w:space="0"/>
              <w:right w:val="single" w:color="auto" w:sz="4" w:space="0"/>
            </w:tcBorders>
            <w:noWrap/>
            <w:vAlign w:val="center"/>
          </w:tcPr>
          <w:p w14:paraId="442FB2F2">
            <w:pPr>
              <w:jc w:val="center"/>
              <w:rPr>
                <w:rFonts w:ascii="宋体" w:cs="宋体"/>
                <w:color w:val="000000"/>
                <w:kern w:val="0"/>
                <w:sz w:val="18"/>
                <w:szCs w:val="18"/>
              </w:rPr>
            </w:pPr>
            <w:r>
              <w:rPr>
                <w:rFonts w:ascii="宋体" w:cs="宋体"/>
                <w:color w:val="000000"/>
                <w:kern w:val="0"/>
                <w:sz w:val="18"/>
                <w:szCs w:val="18"/>
              </w:rPr>
              <w:t>分包</w:t>
            </w:r>
            <w:r>
              <w:rPr>
                <w:rFonts w:hint="eastAsia" w:ascii="宋体" w:cs="宋体"/>
                <w:color w:val="000000"/>
                <w:kern w:val="0"/>
                <w:sz w:val="18"/>
                <w:szCs w:val="18"/>
              </w:rPr>
              <w:t>5</w:t>
            </w:r>
          </w:p>
          <w:p w14:paraId="3384CC5F">
            <w:pPr>
              <w:jc w:val="center"/>
              <w:rPr>
                <w:rFonts w:ascii="宋体" w:cs="宋体"/>
                <w:color w:val="000000"/>
                <w:kern w:val="0"/>
                <w:sz w:val="18"/>
                <w:szCs w:val="18"/>
              </w:rPr>
            </w:pPr>
            <w:r>
              <w:rPr>
                <w:rFonts w:hint="eastAsia" w:ascii="宋体" w:cs="宋体"/>
                <w:color w:val="000000"/>
                <w:kern w:val="0"/>
                <w:sz w:val="18"/>
                <w:szCs w:val="18"/>
              </w:rPr>
              <w:t>（</w:t>
            </w:r>
            <w:r>
              <w:rPr>
                <w:rFonts w:hint="eastAsia" w:ascii="宋体" w:cs="宋体"/>
                <w:color w:val="000000"/>
                <w:kern w:val="0"/>
                <w:sz w:val="18"/>
                <w:szCs w:val="18"/>
                <w:lang w:val="en-US" w:eastAsia="zh-CN"/>
              </w:rPr>
              <w:t>纯水仪配件及相关</w:t>
            </w:r>
            <w:r>
              <w:rPr>
                <w:rFonts w:hint="eastAsia" w:ascii="宋体" w:cs="宋体"/>
                <w:color w:val="000000"/>
                <w:kern w:val="0"/>
                <w:sz w:val="18"/>
                <w:szCs w:val="18"/>
              </w:rPr>
              <w:t>）</w:t>
            </w:r>
          </w:p>
        </w:tc>
        <w:tc>
          <w:tcPr>
            <w:tcW w:w="3969" w:type="dxa"/>
            <w:tcBorders>
              <w:top w:val="single" w:color="auto" w:sz="4" w:space="0"/>
              <w:left w:val="single" w:color="auto" w:sz="4" w:space="0"/>
              <w:bottom w:val="single" w:color="auto" w:sz="4" w:space="0"/>
              <w:right w:val="single" w:color="auto" w:sz="4" w:space="0"/>
            </w:tcBorders>
            <w:noWrap/>
            <w:vAlign w:val="center"/>
          </w:tcPr>
          <w:p w14:paraId="176FE70D">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Progard纯化柱</w:t>
            </w:r>
          </w:p>
        </w:tc>
        <w:tc>
          <w:tcPr>
            <w:tcW w:w="1185" w:type="dxa"/>
            <w:tcBorders>
              <w:top w:val="single" w:color="auto" w:sz="4" w:space="0"/>
              <w:left w:val="nil"/>
              <w:bottom w:val="single" w:color="auto" w:sz="4" w:space="0"/>
              <w:right w:val="single" w:color="auto" w:sz="4" w:space="0"/>
            </w:tcBorders>
            <w:noWrap/>
            <w:vAlign w:val="center"/>
          </w:tcPr>
          <w:p w14:paraId="65148679">
            <w:pPr>
              <w:widowControl/>
              <w:jc w:val="center"/>
              <w:rPr>
                <w:rFonts w:hint="default"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密理博</w:t>
            </w:r>
          </w:p>
        </w:tc>
        <w:tc>
          <w:tcPr>
            <w:tcW w:w="2908" w:type="dxa"/>
            <w:tcBorders>
              <w:top w:val="single" w:color="auto" w:sz="4" w:space="0"/>
              <w:left w:val="nil"/>
              <w:bottom w:val="single" w:color="auto" w:sz="4" w:space="0"/>
              <w:right w:val="single" w:color="auto" w:sz="4" w:space="0"/>
            </w:tcBorders>
            <w:noWrap w:val="0"/>
            <w:vAlign w:val="center"/>
          </w:tcPr>
          <w:p w14:paraId="4388A05E">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PROG000T3</w:t>
            </w:r>
          </w:p>
        </w:tc>
        <w:tc>
          <w:tcPr>
            <w:tcW w:w="532" w:type="dxa"/>
            <w:tcBorders>
              <w:top w:val="single" w:color="auto" w:sz="4" w:space="0"/>
              <w:left w:val="nil"/>
              <w:bottom w:val="single" w:color="auto" w:sz="4" w:space="0"/>
              <w:right w:val="single" w:color="auto" w:sz="4" w:space="0"/>
            </w:tcBorders>
            <w:noWrap/>
            <w:vAlign w:val="center"/>
          </w:tcPr>
          <w:p w14:paraId="498F34B7">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个</w:t>
            </w:r>
          </w:p>
        </w:tc>
      </w:tr>
      <w:tr w14:paraId="505D8F81">
        <w:tblPrEx>
          <w:tblCellMar>
            <w:top w:w="0" w:type="dxa"/>
            <w:left w:w="108" w:type="dxa"/>
            <w:bottom w:w="0" w:type="dxa"/>
            <w:right w:w="108" w:type="dxa"/>
          </w:tblCellMar>
        </w:tblPrEx>
        <w:trPr>
          <w:trHeight w:val="439" w:hRule="atLeast"/>
          <w:jc w:val="center"/>
        </w:trPr>
        <w:tc>
          <w:tcPr>
            <w:tcW w:w="1235" w:type="dxa"/>
            <w:vMerge w:val="continue"/>
            <w:tcBorders>
              <w:left w:val="single" w:color="auto" w:sz="4" w:space="0"/>
              <w:right w:val="single" w:color="auto" w:sz="4" w:space="0"/>
            </w:tcBorders>
            <w:noWrap/>
            <w:vAlign w:val="center"/>
          </w:tcPr>
          <w:p w14:paraId="405E8C3E">
            <w:pPr>
              <w:jc w:val="center"/>
              <w:rPr>
                <w:rFonts w:ascii="宋体" w:cs="宋体"/>
                <w:color w:val="000000"/>
                <w:kern w:val="0"/>
                <w:sz w:val="18"/>
                <w:szCs w:val="18"/>
              </w:rPr>
            </w:pPr>
          </w:p>
        </w:tc>
        <w:tc>
          <w:tcPr>
            <w:tcW w:w="3969" w:type="dxa"/>
            <w:tcBorders>
              <w:top w:val="single" w:color="auto" w:sz="4" w:space="0"/>
              <w:left w:val="single" w:color="auto" w:sz="4" w:space="0"/>
              <w:bottom w:val="single" w:color="auto" w:sz="4" w:space="0"/>
              <w:right w:val="single" w:color="auto" w:sz="4" w:space="0"/>
            </w:tcBorders>
            <w:noWrap/>
            <w:vAlign w:val="center"/>
          </w:tcPr>
          <w:p w14:paraId="6EAF9B01">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Qpak纯化柱</w:t>
            </w:r>
          </w:p>
        </w:tc>
        <w:tc>
          <w:tcPr>
            <w:tcW w:w="1185" w:type="dxa"/>
            <w:tcBorders>
              <w:top w:val="single" w:color="auto" w:sz="4" w:space="0"/>
              <w:left w:val="nil"/>
              <w:bottom w:val="single" w:color="auto" w:sz="4" w:space="0"/>
              <w:right w:val="single" w:color="auto" w:sz="4" w:space="0"/>
            </w:tcBorders>
            <w:noWrap/>
            <w:vAlign w:val="center"/>
          </w:tcPr>
          <w:p w14:paraId="4B020FE0">
            <w:pPr>
              <w:widowControl/>
              <w:jc w:val="center"/>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密理博</w:t>
            </w:r>
          </w:p>
        </w:tc>
        <w:tc>
          <w:tcPr>
            <w:tcW w:w="2908" w:type="dxa"/>
            <w:tcBorders>
              <w:top w:val="single" w:color="auto" w:sz="4" w:space="0"/>
              <w:left w:val="nil"/>
              <w:bottom w:val="single" w:color="auto" w:sz="4" w:space="0"/>
              <w:right w:val="single" w:color="auto" w:sz="4" w:space="0"/>
            </w:tcBorders>
            <w:noWrap w:val="0"/>
            <w:vAlign w:val="center"/>
          </w:tcPr>
          <w:p w14:paraId="7A59B43B">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QPAK00TI（E）X</w:t>
            </w:r>
          </w:p>
        </w:tc>
        <w:tc>
          <w:tcPr>
            <w:tcW w:w="532" w:type="dxa"/>
            <w:tcBorders>
              <w:top w:val="single" w:color="auto" w:sz="4" w:space="0"/>
              <w:left w:val="nil"/>
              <w:bottom w:val="single" w:color="auto" w:sz="4" w:space="0"/>
              <w:right w:val="single" w:color="auto" w:sz="4" w:space="0"/>
            </w:tcBorders>
            <w:noWrap/>
            <w:vAlign w:val="center"/>
          </w:tcPr>
          <w:p w14:paraId="649C0F17">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个</w:t>
            </w:r>
          </w:p>
        </w:tc>
      </w:tr>
      <w:tr w14:paraId="1334E16A">
        <w:tblPrEx>
          <w:tblCellMar>
            <w:top w:w="0" w:type="dxa"/>
            <w:left w:w="108" w:type="dxa"/>
            <w:bottom w:w="0" w:type="dxa"/>
            <w:right w:w="108" w:type="dxa"/>
          </w:tblCellMar>
        </w:tblPrEx>
        <w:trPr>
          <w:trHeight w:val="451" w:hRule="atLeast"/>
          <w:jc w:val="center"/>
        </w:trPr>
        <w:tc>
          <w:tcPr>
            <w:tcW w:w="1235" w:type="dxa"/>
            <w:vMerge w:val="continue"/>
            <w:tcBorders>
              <w:left w:val="single" w:color="auto" w:sz="4" w:space="0"/>
              <w:right w:val="single" w:color="auto" w:sz="4" w:space="0"/>
            </w:tcBorders>
            <w:noWrap/>
            <w:vAlign w:val="center"/>
          </w:tcPr>
          <w:p w14:paraId="65A9A802">
            <w:pPr>
              <w:jc w:val="center"/>
              <w:rPr>
                <w:rFonts w:ascii="宋体" w:cs="宋体"/>
                <w:color w:val="000000"/>
                <w:kern w:val="0"/>
                <w:sz w:val="18"/>
                <w:szCs w:val="18"/>
              </w:rPr>
            </w:pPr>
          </w:p>
        </w:tc>
        <w:tc>
          <w:tcPr>
            <w:tcW w:w="3969" w:type="dxa"/>
            <w:tcBorders>
              <w:top w:val="single" w:color="auto" w:sz="4" w:space="0"/>
              <w:left w:val="single" w:color="auto" w:sz="4" w:space="0"/>
              <w:bottom w:val="single" w:color="auto" w:sz="4" w:space="0"/>
              <w:right w:val="single" w:color="auto" w:sz="4" w:space="0"/>
            </w:tcBorders>
            <w:noWrap/>
            <w:vAlign w:val="center"/>
          </w:tcPr>
          <w:p w14:paraId="6DAFA359">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0.22um过滤器</w:t>
            </w:r>
          </w:p>
        </w:tc>
        <w:tc>
          <w:tcPr>
            <w:tcW w:w="1185" w:type="dxa"/>
            <w:tcBorders>
              <w:top w:val="single" w:color="auto" w:sz="4" w:space="0"/>
              <w:left w:val="nil"/>
              <w:bottom w:val="single" w:color="auto" w:sz="4" w:space="0"/>
              <w:right w:val="single" w:color="auto" w:sz="4" w:space="0"/>
            </w:tcBorders>
            <w:noWrap/>
            <w:vAlign w:val="center"/>
          </w:tcPr>
          <w:p w14:paraId="574DE1F0">
            <w:pPr>
              <w:widowControl/>
              <w:jc w:val="center"/>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密理博</w:t>
            </w:r>
          </w:p>
        </w:tc>
        <w:tc>
          <w:tcPr>
            <w:tcW w:w="2908" w:type="dxa"/>
            <w:tcBorders>
              <w:top w:val="single" w:color="auto" w:sz="4" w:space="0"/>
              <w:left w:val="nil"/>
              <w:bottom w:val="single" w:color="auto" w:sz="4" w:space="0"/>
              <w:right w:val="single" w:color="auto" w:sz="4" w:space="0"/>
            </w:tcBorders>
            <w:noWrap w:val="0"/>
            <w:vAlign w:val="center"/>
          </w:tcPr>
          <w:p w14:paraId="072914BF">
            <w:pPr>
              <w:jc w:val="left"/>
              <w:rPr>
                <w:rFonts w:hint="default"/>
                <w:color w:val="000000"/>
                <w:sz w:val="15"/>
                <w:szCs w:val="15"/>
                <w:lang w:val="en-US" w:eastAsia="zh-CN"/>
              </w:rPr>
            </w:pPr>
            <w:r>
              <w:rPr>
                <w:rFonts w:hint="eastAsia" w:ascii="宋体" w:hAnsi="宋体" w:cs="宋体"/>
                <w:color w:val="000000"/>
                <w:kern w:val="0"/>
                <w:sz w:val="18"/>
                <w:szCs w:val="18"/>
                <w:lang w:val="en-US" w:eastAsia="zh-CN"/>
              </w:rPr>
              <w:t>MPGP04001</w:t>
            </w:r>
          </w:p>
        </w:tc>
        <w:tc>
          <w:tcPr>
            <w:tcW w:w="532" w:type="dxa"/>
            <w:tcBorders>
              <w:top w:val="single" w:color="auto" w:sz="4" w:space="0"/>
              <w:left w:val="nil"/>
              <w:bottom w:val="single" w:color="auto" w:sz="4" w:space="0"/>
              <w:right w:val="single" w:color="auto" w:sz="4" w:space="0"/>
            </w:tcBorders>
            <w:noWrap/>
            <w:vAlign w:val="center"/>
          </w:tcPr>
          <w:p w14:paraId="38C1A414">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个</w:t>
            </w:r>
          </w:p>
        </w:tc>
      </w:tr>
      <w:tr w14:paraId="37BD5035">
        <w:tblPrEx>
          <w:tblCellMar>
            <w:top w:w="0" w:type="dxa"/>
            <w:left w:w="108" w:type="dxa"/>
            <w:bottom w:w="0" w:type="dxa"/>
            <w:right w:w="108" w:type="dxa"/>
          </w:tblCellMar>
        </w:tblPrEx>
        <w:trPr>
          <w:trHeight w:val="451" w:hRule="atLeast"/>
          <w:jc w:val="center"/>
        </w:trPr>
        <w:tc>
          <w:tcPr>
            <w:tcW w:w="1235" w:type="dxa"/>
            <w:vMerge w:val="continue"/>
            <w:tcBorders>
              <w:left w:val="single" w:color="auto" w:sz="4" w:space="0"/>
              <w:right w:val="single" w:color="auto" w:sz="4" w:space="0"/>
            </w:tcBorders>
            <w:noWrap/>
            <w:vAlign w:val="center"/>
          </w:tcPr>
          <w:p w14:paraId="574980CB">
            <w:pPr>
              <w:jc w:val="center"/>
              <w:rPr>
                <w:rFonts w:ascii="宋体" w:cs="宋体"/>
                <w:color w:val="000000"/>
                <w:kern w:val="0"/>
                <w:sz w:val="18"/>
                <w:szCs w:val="18"/>
              </w:rPr>
            </w:pPr>
          </w:p>
        </w:tc>
        <w:tc>
          <w:tcPr>
            <w:tcW w:w="3969" w:type="dxa"/>
            <w:tcBorders>
              <w:top w:val="single" w:color="auto" w:sz="4" w:space="0"/>
              <w:left w:val="single" w:color="auto" w:sz="4" w:space="0"/>
              <w:bottom w:val="single" w:color="auto" w:sz="4" w:space="0"/>
              <w:right w:val="single" w:color="auto" w:sz="4" w:space="0"/>
            </w:tcBorders>
            <w:noWrap/>
            <w:vAlign w:val="center"/>
          </w:tcPr>
          <w:p w14:paraId="0E766382">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185nm紫外灯</w:t>
            </w:r>
          </w:p>
        </w:tc>
        <w:tc>
          <w:tcPr>
            <w:tcW w:w="1185" w:type="dxa"/>
            <w:tcBorders>
              <w:top w:val="single" w:color="auto" w:sz="4" w:space="0"/>
              <w:left w:val="nil"/>
              <w:bottom w:val="single" w:color="auto" w:sz="4" w:space="0"/>
              <w:right w:val="single" w:color="auto" w:sz="4" w:space="0"/>
            </w:tcBorders>
            <w:noWrap/>
            <w:vAlign w:val="center"/>
          </w:tcPr>
          <w:p w14:paraId="21B43199">
            <w:pPr>
              <w:widowControl/>
              <w:jc w:val="center"/>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密理博</w:t>
            </w:r>
          </w:p>
        </w:tc>
        <w:tc>
          <w:tcPr>
            <w:tcW w:w="2908" w:type="dxa"/>
            <w:tcBorders>
              <w:top w:val="single" w:color="auto" w:sz="4" w:space="0"/>
              <w:left w:val="nil"/>
              <w:bottom w:val="single" w:color="auto" w:sz="4" w:space="0"/>
              <w:right w:val="single" w:color="auto" w:sz="4" w:space="0"/>
            </w:tcBorders>
            <w:noWrap w:val="0"/>
            <w:vAlign w:val="center"/>
          </w:tcPr>
          <w:p w14:paraId="13A5D5C6">
            <w:pPr>
              <w:jc w:val="left"/>
              <w:rPr>
                <w:rFonts w:hint="default"/>
                <w:color w:val="000000"/>
                <w:sz w:val="15"/>
                <w:szCs w:val="15"/>
                <w:lang w:val="en-US" w:eastAsia="zh-CN"/>
              </w:rPr>
            </w:pPr>
            <w:r>
              <w:rPr>
                <w:rFonts w:hint="eastAsia" w:ascii="宋体" w:hAnsi="宋体" w:cs="宋体"/>
                <w:color w:val="000000"/>
                <w:kern w:val="0"/>
                <w:sz w:val="18"/>
                <w:szCs w:val="18"/>
                <w:lang w:val="en-US" w:eastAsia="zh-CN"/>
              </w:rPr>
              <w:t>ZMQUVLP01</w:t>
            </w:r>
          </w:p>
        </w:tc>
        <w:tc>
          <w:tcPr>
            <w:tcW w:w="532" w:type="dxa"/>
            <w:tcBorders>
              <w:top w:val="single" w:color="auto" w:sz="4" w:space="0"/>
              <w:left w:val="nil"/>
              <w:bottom w:val="single" w:color="auto" w:sz="4" w:space="0"/>
              <w:right w:val="single" w:color="auto" w:sz="4" w:space="0"/>
            </w:tcBorders>
            <w:noWrap/>
            <w:vAlign w:val="center"/>
          </w:tcPr>
          <w:p w14:paraId="5558B7B9">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个</w:t>
            </w:r>
          </w:p>
        </w:tc>
      </w:tr>
      <w:tr w14:paraId="56B69425">
        <w:tblPrEx>
          <w:tblCellMar>
            <w:top w:w="0" w:type="dxa"/>
            <w:left w:w="108" w:type="dxa"/>
            <w:bottom w:w="0" w:type="dxa"/>
            <w:right w:w="108" w:type="dxa"/>
          </w:tblCellMar>
        </w:tblPrEx>
        <w:trPr>
          <w:trHeight w:val="451" w:hRule="atLeast"/>
          <w:jc w:val="center"/>
        </w:trPr>
        <w:tc>
          <w:tcPr>
            <w:tcW w:w="1235" w:type="dxa"/>
            <w:vMerge w:val="continue"/>
            <w:tcBorders>
              <w:left w:val="single" w:color="auto" w:sz="4" w:space="0"/>
              <w:right w:val="single" w:color="auto" w:sz="4" w:space="0"/>
            </w:tcBorders>
            <w:noWrap/>
            <w:vAlign w:val="center"/>
          </w:tcPr>
          <w:p w14:paraId="1DFF3129">
            <w:pPr>
              <w:jc w:val="center"/>
              <w:rPr>
                <w:rFonts w:ascii="宋体" w:cs="宋体"/>
                <w:color w:val="000000"/>
                <w:kern w:val="0"/>
                <w:sz w:val="18"/>
                <w:szCs w:val="18"/>
              </w:rPr>
            </w:pPr>
          </w:p>
        </w:tc>
        <w:tc>
          <w:tcPr>
            <w:tcW w:w="3969" w:type="dxa"/>
            <w:tcBorders>
              <w:top w:val="single" w:color="auto" w:sz="4" w:space="0"/>
              <w:left w:val="single" w:color="auto" w:sz="4" w:space="0"/>
              <w:bottom w:val="single" w:color="auto" w:sz="4" w:space="0"/>
              <w:right w:val="single" w:color="auto" w:sz="4" w:space="0"/>
            </w:tcBorders>
            <w:noWrap/>
            <w:vAlign w:val="center"/>
          </w:tcPr>
          <w:p w14:paraId="4901D7F7">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60升液位计</w:t>
            </w:r>
          </w:p>
        </w:tc>
        <w:tc>
          <w:tcPr>
            <w:tcW w:w="1185" w:type="dxa"/>
            <w:tcBorders>
              <w:top w:val="single" w:color="auto" w:sz="4" w:space="0"/>
              <w:left w:val="nil"/>
              <w:bottom w:val="single" w:color="auto" w:sz="4" w:space="0"/>
              <w:right w:val="single" w:color="auto" w:sz="4" w:space="0"/>
            </w:tcBorders>
            <w:noWrap/>
            <w:vAlign w:val="center"/>
          </w:tcPr>
          <w:p w14:paraId="2E4822E1">
            <w:pPr>
              <w:widowControl/>
              <w:jc w:val="center"/>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密理博</w:t>
            </w:r>
          </w:p>
        </w:tc>
        <w:tc>
          <w:tcPr>
            <w:tcW w:w="2908" w:type="dxa"/>
            <w:tcBorders>
              <w:top w:val="single" w:color="auto" w:sz="4" w:space="0"/>
              <w:left w:val="nil"/>
              <w:bottom w:val="single" w:color="auto" w:sz="4" w:space="0"/>
              <w:right w:val="single" w:color="auto" w:sz="4" w:space="0"/>
            </w:tcBorders>
            <w:noWrap w:val="0"/>
            <w:vAlign w:val="center"/>
          </w:tcPr>
          <w:p w14:paraId="17D1A1D5">
            <w:pPr>
              <w:jc w:val="left"/>
              <w:rPr>
                <w:rFonts w:hint="default"/>
                <w:color w:val="000000"/>
                <w:sz w:val="15"/>
                <w:szCs w:val="15"/>
                <w:lang w:val="en-US" w:eastAsia="zh-CN"/>
              </w:rPr>
            </w:pPr>
            <w:r>
              <w:rPr>
                <w:rFonts w:hint="eastAsia" w:ascii="宋体" w:hAnsi="宋体" w:cs="宋体"/>
                <w:color w:val="000000"/>
                <w:kern w:val="0"/>
                <w:sz w:val="18"/>
                <w:szCs w:val="18"/>
                <w:lang w:val="en-US" w:eastAsia="zh-CN"/>
              </w:rPr>
              <w:t>FTPF05381</w:t>
            </w:r>
          </w:p>
        </w:tc>
        <w:tc>
          <w:tcPr>
            <w:tcW w:w="532" w:type="dxa"/>
            <w:tcBorders>
              <w:top w:val="single" w:color="auto" w:sz="4" w:space="0"/>
              <w:left w:val="nil"/>
              <w:bottom w:val="single" w:color="auto" w:sz="4" w:space="0"/>
              <w:right w:val="single" w:color="auto" w:sz="4" w:space="0"/>
            </w:tcBorders>
            <w:noWrap/>
            <w:vAlign w:val="center"/>
          </w:tcPr>
          <w:p w14:paraId="64F45E2A">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个</w:t>
            </w:r>
          </w:p>
        </w:tc>
      </w:tr>
      <w:tr w14:paraId="4ABA9A43">
        <w:tblPrEx>
          <w:tblCellMar>
            <w:top w:w="0" w:type="dxa"/>
            <w:left w:w="108" w:type="dxa"/>
            <w:bottom w:w="0" w:type="dxa"/>
            <w:right w:w="108" w:type="dxa"/>
          </w:tblCellMar>
        </w:tblPrEx>
        <w:trPr>
          <w:trHeight w:val="451" w:hRule="atLeast"/>
          <w:jc w:val="center"/>
        </w:trPr>
        <w:tc>
          <w:tcPr>
            <w:tcW w:w="1235" w:type="dxa"/>
            <w:vMerge w:val="continue"/>
            <w:tcBorders>
              <w:left w:val="single" w:color="auto" w:sz="4" w:space="0"/>
              <w:right w:val="single" w:color="auto" w:sz="4" w:space="0"/>
            </w:tcBorders>
            <w:noWrap/>
            <w:vAlign w:val="center"/>
          </w:tcPr>
          <w:p w14:paraId="0A52BA86">
            <w:pPr>
              <w:jc w:val="center"/>
              <w:rPr>
                <w:rFonts w:ascii="宋体" w:cs="宋体"/>
                <w:color w:val="000000"/>
                <w:kern w:val="0"/>
                <w:sz w:val="18"/>
                <w:szCs w:val="18"/>
              </w:rPr>
            </w:pPr>
          </w:p>
        </w:tc>
        <w:tc>
          <w:tcPr>
            <w:tcW w:w="3969" w:type="dxa"/>
            <w:tcBorders>
              <w:top w:val="single" w:color="auto" w:sz="4" w:space="0"/>
              <w:left w:val="single" w:color="auto" w:sz="4" w:space="0"/>
              <w:bottom w:val="single" w:color="auto" w:sz="4" w:space="0"/>
              <w:right w:val="single" w:color="auto" w:sz="4" w:space="0"/>
            </w:tcBorders>
            <w:noWrap/>
            <w:vAlign w:val="center"/>
          </w:tcPr>
          <w:p w14:paraId="4FC8A076">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原装RO膜</w:t>
            </w:r>
          </w:p>
        </w:tc>
        <w:tc>
          <w:tcPr>
            <w:tcW w:w="1185" w:type="dxa"/>
            <w:tcBorders>
              <w:top w:val="single" w:color="auto" w:sz="4" w:space="0"/>
              <w:left w:val="nil"/>
              <w:bottom w:val="single" w:color="auto" w:sz="4" w:space="0"/>
              <w:right w:val="single" w:color="auto" w:sz="4" w:space="0"/>
            </w:tcBorders>
            <w:noWrap/>
            <w:vAlign w:val="center"/>
          </w:tcPr>
          <w:p w14:paraId="1DE77824">
            <w:pPr>
              <w:widowControl/>
              <w:jc w:val="center"/>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密理博</w:t>
            </w:r>
          </w:p>
        </w:tc>
        <w:tc>
          <w:tcPr>
            <w:tcW w:w="2908" w:type="dxa"/>
            <w:tcBorders>
              <w:top w:val="single" w:color="auto" w:sz="4" w:space="0"/>
              <w:left w:val="nil"/>
              <w:bottom w:val="single" w:color="auto" w:sz="4" w:space="0"/>
              <w:right w:val="single" w:color="auto" w:sz="4" w:space="0"/>
            </w:tcBorders>
            <w:noWrap w:val="0"/>
            <w:vAlign w:val="center"/>
          </w:tcPr>
          <w:p w14:paraId="13E57569">
            <w:pPr>
              <w:jc w:val="left"/>
              <w:rPr>
                <w:rFonts w:hint="default"/>
                <w:color w:val="000000"/>
                <w:sz w:val="15"/>
                <w:szCs w:val="15"/>
                <w:lang w:val="en-US" w:eastAsia="zh-CN"/>
              </w:rPr>
            </w:pPr>
            <w:r>
              <w:rPr>
                <w:rFonts w:hint="eastAsia" w:ascii="宋体" w:hAnsi="宋体" w:cs="宋体"/>
                <w:color w:val="000000"/>
                <w:kern w:val="0"/>
                <w:sz w:val="18"/>
                <w:szCs w:val="18"/>
                <w:lang w:val="en-US" w:eastAsia="zh-CN"/>
              </w:rPr>
              <w:t>CDRC60201</w:t>
            </w:r>
          </w:p>
        </w:tc>
        <w:tc>
          <w:tcPr>
            <w:tcW w:w="532" w:type="dxa"/>
            <w:tcBorders>
              <w:top w:val="single" w:color="auto" w:sz="4" w:space="0"/>
              <w:left w:val="nil"/>
              <w:bottom w:val="single" w:color="auto" w:sz="4" w:space="0"/>
              <w:right w:val="single" w:color="auto" w:sz="4" w:space="0"/>
            </w:tcBorders>
            <w:noWrap/>
            <w:vAlign w:val="center"/>
          </w:tcPr>
          <w:p w14:paraId="61C863AB">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个</w:t>
            </w:r>
          </w:p>
        </w:tc>
      </w:tr>
      <w:tr w14:paraId="22B0C8B4">
        <w:tblPrEx>
          <w:tblCellMar>
            <w:top w:w="0" w:type="dxa"/>
            <w:left w:w="108" w:type="dxa"/>
            <w:bottom w:w="0" w:type="dxa"/>
            <w:right w:w="108" w:type="dxa"/>
          </w:tblCellMar>
        </w:tblPrEx>
        <w:trPr>
          <w:trHeight w:val="477" w:hRule="atLeast"/>
          <w:jc w:val="center"/>
        </w:trPr>
        <w:tc>
          <w:tcPr>
            <w:tcW w:w="1235" w:type="dxa"/>
            <w:vMerge w:val="continue"/>
            <w:tcBorders>
              <w:left w:val="single" w:color="auto" w:sz="4" w:space="0"/>
              <w:bottom w:val="single" w:color="auto" w:sz="4" w:space="0"/>
              <w:right w:val="single" w:color="auto" w:sz="4" w:space="0"/>
            </w:tcBorders>
            <w:noWrap/>
            <w:vAlign w:val="center"/>
          </w:tcPr>
          <w:p w14:paraId="1A9C7EC1">
            <w:pPr>
              <w:jc w:val="center"/>
              <w:rPr>
                <w:rFonts w:ascii="宋体" w:cs="宋体"/>
                <w:color w:val="000000"/>
                <w:kern w:val="0"/>
                <w:sz w:val="18"/>
                <w:szCs w:val="18"/>
              </w:rPr>
            </w:pPr>
          </w:p>
        </w:tc>
        <w:tc>
          <w:tcPr>
            <w:tcW w:w="3969" w:type="dxa"/>
            <w:tcBorders>
              <w:top w:val="single" w:color="auto" w:sz="4" w:space="0"/>
              <w:left w:val="single" w:color="auto" w:sz="4" w:space="0"/>
              <w:bottom w:val="single" w:color="auto" w:sz="4" w:space="0"/>
              <w:right w:val="single" w:color="auto" w:sz="4" w:space="0"/>
            </w:tcBorders>
            <w:noWrap/>
            <w:vAlign w:val="center"/>
          </w:tcPr>
          <w:p w14:paraId="032EF292">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水箱空气过滤器</w:t>
            </w:r>
          </w:p>
        </w:tc>
        <w:tc>
          <w:tcPr>
            <w:tcW w:w="1185" w:type="dxa"/>
            <w:tcBorders>
              <w:top w:val="single" w:color="auto" w:sz="4" w:space="0"/>
              <w:left w:val="nil"/>
              <w:bottom w:val="single" w:color="auto" w:sz="4" w:space="0"/>
              <w:right w:val="single" w:color="auto" w:sz="4" w:space="0"/>
            </w:tcBorders>
            <w:noWrap/>
            <w:vAlign w:val="center"/>
          </w:tcPr>
          <w:p w14:paraId="63F60E02">
            <w:pPr>
              <w:widowControl/>
              <w:jc w:val="center"/>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密理博</w:t>
            </w:r>
          </w:p>
        </w:tc>
        <w:tc>
          <w:tcPr>
            <w:tcW w:w="2908" w:type="dxa"/>
            <w:tcBorders>
              <w:top w:val="single" w:color="auto" w:sz="4" w:space="0"/>
              <w:left w:val="nil"/>
              <w:bottom w:val="single" w:color="auto" w:sz="4" w:space="0"/>
              <w:right w:val="single" w:color="auto" w:sz="4" w:space="0"/>
            </w:tcBorders>
            <w:noWrap w:val="0"/>
            <w:vAlign w:val="center"/>
          </w:tcPr>
          <w:p w14:paraId="6037E6DE">
            <w:pPr>
              <w:jc w:val="left"/>
              <w:rPr>
                <w:rFonts w:hint="default"/>
                <w:color w:val="000000"/>
                <w:sz w:val="15"/>
                <w:szCs w:val="15"/>
                <w:lang w:val="en-US" w:eastAsia="zh-CN"/>
              </w:rPr>
            </w:pPr>
            <w:r>
              <w:rPr>
                <w:rFonts w:hint="eastAsia" w:ascii="宋体" w:hAnsi="宋体" w:cs="宋体"/>
                <w:color w:val="000000"/>
                <w:kern w:val="0"/>
                <w:sz w:val="18"/>
                <w:szCs w:val="18"/>
                <w:lang w:val="en-US" w:eastAsia="zh-CN"/>
              </w:rPr>
              <w:t>TANKMPK01</w:t>
            </w:r>
          </w:p>
        </w:tc>
        <w:tc>
          <w:tcPr>
            <w:tcW w:w="532" w:type="dxa"/>
            <w:tcBorders>
              <w:top w:val="single" w:color="auto" w:sz="4" w:space="0"/>
              <w:left w:val="nil"/>
              <w:bottom w:val="single" w:color="auto" w:sz="4" w:space="0"/>
              <w:right w:val="single" w:color="auto" w:sz="4" w:space="0"/>
            </w:tcBorders>
            <w:noWrap/>
            <w:vAlign w:val="center"/>
          </w:tcPr>
          <w:p w14:paraId="4E3A77B6">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个</w:t>
            </w:r>
          </w:p>
        </w:tc>
      </w:tr>
    </w:tbl>
    <w:p w14:paraId="2B1D7873">
      <w:pPr>
        <w:widowControl/>
        <w:spacing w:line="360" w:lineRule="auto"/>
        <w:jc w:val="left"/>
        <w:rPr>
          <w:rFonts w:hint="eastAsia" w:ascii="仿宋" w:hAnsi="仿宋" w:eastAsia="仿宋" w:cs="宋体"/>
          <w:b/>
          <w:bCs/>
          <w:color w:val="auto"/>
          <w:sz w:val="24"/>
          <w:szCs w:val="24"/>
          <w:highlight w:val="none"/>
        </w:rPr>
      </w:pPr>
    </w:p>
    <w:p w14:paraId="5A04742D">
      <w:pPr>
        <w:widowControl/>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三、商务要求</w:t>
      </w:r>
    </w:p>
    <w:p w14:paraId="0A3765B1">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参数偏离表承诺函：供应商需出具参数偏离表的盖章承诺函，承诺其提交的相关材料真实有效，每项参数都可作为验收的依据，参数验收时如果不能符合标书要求，应按投标价的30%作为对采购人的赔偿，货物退回，合同作废，并承担虚假应标的相关责任；承诺其投标产品为原厂全新产品，非代工产品或翻新产品，负责保修，保证货物的使用。</w:t>
      </w:r>
    </w:p>
    <w:p w14:paraId="6B3E7DDD">
      <w:pPr>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.交货期要求：</w:t>
      </w:r>
      <w:r>
        <w:rPr>
          <w:rFonts w:hint="eastAsia" w:ascii="仿宋" w:hAnsi="仿宋" w:eastAsia="仿宋" w:cs="仿宋"/>
          <w:bCs/>
          <w:color w:val="auto"/>
          <w:sz w:val="24"/>
          <w:szCs w:val="24"/>
          <w:highlight w:val="none"/>
        </w:rPr>
        <w:t>合同签订后</w:t>
      </w: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日内供货完毕</w:t>
      </w:r>
      <w:r>
        <w:rPr>
          <w:rFonts w:hint="eastAsia" w:ascii="仿宋" w:hAnsi="仿宋" w:eastAsia="仿宋" w:cs="宋体"/>
          <w:color w:val="auto"/>
          <w:sz w:val="24"/>
          <w:szCs w:val="24"/>
          <w:highlight w:val="none"/>
        </w:rPr>
        <w:t>。</w:t>
      </w:r>
    </w:p>
    <w:p w14:paraId="2F84F52A">
      <w:pPr>
        <w:spacing w:line="360" w:lineRule="auto"/>
        <w:ind w:firstLine="480" w:firstLineChars="200"/>
        <w:rPr>
          <w:rFonts w:hint="default" w:ascii="仿宋" w:hAnsi="仿宋" w:eastAsia="仿宋" w:cs="宋体"/>
          <w:color w:val="auto"/>
          <w:sz w:val="24"/>
          <w:szCs w:val="24"/>
          <w:highlight w:val="none"/>
          <w:lang w:val="en-US" w:eastAsia="zh-CN"/>
        </w:rPr>
      </w:pP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.交货地点及验收：采购人指定地点，</w:t>
      </w:r>
      <w:bookmarkStart w:id="93" w:name="_Hlk149730648"/>
      <w:r>
        <w:rPr>
          <w:rFonts w:hint="eastAsia" w:ascii="仿宋" w:hAnsi="仿宋" w:eastAsia="仿宋" w:cs="宋体"/>
          <w:color w:val="auto"/>
          <w:sz w:val="24"/>
          <w:szCs w:val="24"/>
          <w:highlight w:val="none"/>
        </w:rPr>
        <w:t>由供应商负责办理运输和装卸等，费用由供应商负责，由采购人组织验收，检验不合格或不符合质量要求，供应商除无条件退货、返工外，还应承担采购人的一切损失。</w:t>
      </w:r>
      <w:bookmarkEnd w:id="93"/>
      <w:r>
        <w:rPr>
          <w:rFonts w:hint="eastAsia" w:ascii="仿宋" w:hAnsi="仿宋" w:eastAsia="仿宋" w:cs="宋体"/>
          <w:color w:val="FF0000"/>
          <w:sz w:val="24"/>
          <w:szCs w:val="24"/>
          <w:highlight w:val="none"/>
          <w:lang w:val="en-US" w:eastAsia="zh-CN"/>
        </w:rPr>
        <w:t>其中分包5含上门安装服务。</w:t>
      </w:r>
    </w:p>
    <w:p w14:paraId="5B63FF07">
      <w:pPr>
        <w:spacing w:line="360" w:lineRule="auto"/>
        <w:ind w:firstLine="480" w:firstLineChars="200"/>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4</w:t>
      </w:r>
      <w:r>
        <w:rPr>
          <w:rFonts w:hint="eastAsia" w:ascii="仿宋" w:hAnsi="仿宋" w:eastAsia="仿宋" w:cs="宋体"/>
          <w:color w:val="auto"/>
          <w:sz w:val="24"/>
          <w:szCs w:val="24"/>
          <w:highlight w:val="none"/>
        </w:rPr>
        <w:t>.</w:t>
      </w:r>
      <w:r>
        <w:rPr>
          <w:rFonts w:hint="eastAsia" w:ascii="仿宋" w:hAnsi="仿宋" w:eastAsia="仿宋" w:cs="仿宋"/>
          <w:bCs/>
          <w:color w:val="auto"/>
          <w:sz w:val="24"/>
          <w:szCs w:val="24"/>
          <w:highlight w:val="none"/>
        </w:rPr>
        <w:t>货物质量</w:t>
      </w:r>
      <w:r>
        <w:rPr>
          <w:rFonts w:hint="eastAsia" w:ascii="仿宋" w:hAnsi="仿宋" w:eastAsia="仿宋" w:cs="宋体"/>
          <w:color w:val="auto"/>
          <w:sz w:val="24"/>
          <w:szCs w:val="24"/>
          <w:highlight w:val="none"/>
        </w:rPr>
        <w:t>：货物质量合格，符合相关标准规定。</w:t>
      </w:r>
      <w:bookmarkStart w:id="94" w:name="_Hlk149730471"/>
      <w:r>
        <w:rPr>
          <w:rFonts w:hint="eastAsia" w:ascii="仿宋" w:hAnsi="仿宋" w:eastAsia="仿宋" w:cs="宋体"/>
          <w:color w:val="auto"/>
          <w:sz w:val="24"/>
          <w:szCs w:val="24"/>
          <w:highlight w:val="none"/>
        </w:rPr>
        <w:t>如出现质量问题，供应商应在2小时内响应，24小时内到达现场，48小时内解决出现问题，其中产生的一切费用由供应商承担，若超时未响应，则视为供应商承认质量问题并承担由此产生的一切费用。采购人不定期组织货物实验验证，如出现货物不能满足采购人实验需求的，供应商在接到反馈信息后应在承诺供货期规定的时间内无条件退换货，直至货物满足采购人实验需求为止。供应商应在货物有效期内经验证证实货物有质量缺陷时，有义务尽快通知采购人，及时更换货物并实施补偿措施，其中产生的一切费用和损失由供应商承担。</w:t>
      </w:r>
    </w:p>
    <w:bookmarkEnd w:id="94"/>
    <w:p w14:paraId="01850F15">
      <w:pPr>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5</w:t>
      </w:r>
      <w:r>
        <w:rPr>
          <w:rFonts w:hint="eastAsia" w:ascii="仿宋" w:hAnsi="仿宋" w:eastAsia="仿宋" w:cs="宋体"/>
          <w:color w:val="auto"/>
          <w:sz w:val="24"/>
          <w:szCs w:val="24"/>
          <w:highlight w:val="none"/>
        </w:rPr>
        <w:t>.质保期：自项目验收合格之日起</w:t>
      </w:r>
      <w:r>
        <w:rPr>
          <w:rFonts w:hint="eastAsia" w:ascii="仿宋" w:hAnsi="仿宋" w:eastAsia="仿宋" w:cs="宋体"/>
          <w:color w:val="auto"/>
          <w:sz w:val="24"/>
          <w:szCs w:val="24"/>
          <w:highlight w:val="none"/>
          <w:lang w:val="en-US" w:eastAsia="zh-CN"/>
        </w:rPr>
        <w:t>一</w:t>
      </w:r>
      <w:r>
        <w:rPr>
          <w:rFonts w:hint="eastAsia" w:ascii="仿宋" w:hAnsi="仿宋" w:eastAsia="仿宋" w:cs="宋体"/>
          <w:color w:val="auto"/>
          <w:sz w:val="24"/>
          <w:szCs w:val="24"/>
          <w:highlight w:val="none"/>
        </w:rPr>
        <w:t>年。</w:t>
      </w:r>
    </w:p>
    <w:p w14:paraId="6398946D">
      <w:pPr>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6</w:t>
      </w:r>
      <w:r>
        <w:rPr>
          <w:rFonts w:hint="eastAsia" w:ascii="仿宋" w:hAnsi="仿宋" w:eastAsia="仿宋" w:cs="宋体"/>
          <w:color w:val="auto"/>
          <w:sz w:val="24"/>
          <w:szCs w:val="24"/>
          <w:highlight w:val="none"/>
        </w:rPr>
        <w:t>.付款方式：</w:t>
      </w:r>
      <w:r>
        <w:rPr>
          <w:rFonts w:hint="eastAsia" w:ascii="仿宋" w:hAnsi="仿宋" w:eastAsia="仿宋" w:cs="宋体"/>
          <w:color w:val="auto"/>
          <w:sz w:val="24"/>
          <w:szCs w:val="24"/>
          <w:highlight w:val="none"/>
          <w:lang w:eastAsia="zh-CN"/>
        </w:rPr>
        <w:t>验收合格后一次性付款。</w:t>
      </w:r>
    </w:p>
    <w:p w14:paraId="4A14EA9C">
      <w:pPr>
        <w:widowControl/>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四、其他要求</w:t>
      </w:r>
    </w:p>
    <w:p w14:paraId="02C37F74">
      <w:pPr>
        <w:widowControl/>
        <w:spacing w:line="360" w:lineRule="auto"/>
        <w:ind w:firstLine="480" w:firstLineChars="200"/>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.供应商须采取必要的安全措施保证货物的运输安全，并承担货物的运输过程中产生的风险。</w:t>
      </w:r>
      <w:r>
        <w:rPr>
          <w:rFonts w:hint="eastAsia" w:ascii="仿宋" w:hAnsi="仿宋" w:eastAsia="仿宋" w:cs="仿宋"/>
          <w:color w:val="auto"/>
          <w:sz w:val="24"/>
          <w:szCs w:val="24"/>
          <w:highlight w:val="none"/>
        </w:rPr>
        <w:t>货物外观、包装、运输应符合有关规定的标准，如因供应商包装、运输不当等原因造成的损失，由供应商承担。</w:t>
      </w:r>
    </w:p>
    <w:p w14:paraId="41D0F776">
      <w:pPr>
        <w:widowControl/>
        <w:spacing w:line="360" w:lineRule="auto"/>
        <w:ind w:firstLine="480" w:firstLineChars="200"/>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响应报价应包括投标文件所确定的该项目的全部内容，包括响应及完成委托工作所需的一切费用，包含但不限于如货物采购、人工、包装、运输、装卸、税费、售后服务及相关劳务支出等工作所发生的全部费用以及供应商企业利润、税金和政策性文件规定及合同包含的所有风险、责任，即响应本采购文件规定的各项应有费用。</w:t>
      </w:r>
    </w:p>
    <w:p w14:paraId="39DD5E53">
      <w:pPr>
        <w:widowControl/>
        <w:spacing w:line="360" w:lineRule="auto"/>
        <w:ind w:firstLine="420" w:firstLineChars="200"/>
        <w:jc w:val="left"/>
        <w:rPr>
          <w:rFonts w:ascii="仿宋" w:hAnsi="仿宋" w:eastAsia="仿宋" w:cs="宋体"/>
          <w:color w:val="auto"/>
          <w:sz w:val="28"/>
          <w:szCs w:val="28"/>
          <w:highlight w:val="none"/>
        </w:rPr>
      </w:pPr>
      <w:r>
        <w:rPr>
          <w:rFonts w:ascii="仿宋" w:hAnsi="仿宋" w:eastAsia="仿宋"/>
          <w:color w:val="auto"/>
          <w:highlight w:val="none"/>
        </w:rPr>
        <w:br w:type="page"/>
      </w:r>
    </w:p>
    <w:p w14:paraId="0AA3C938">
      <w:pPr>
        <w:pStyle w:val="2"/>
        <w:spacing w:before="159" w:beforeLines="50" w:after="159" w:afterLines="50"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第四部分 评审方法和评审标准</w:t>
      </w:r>
    </w:p>
    <w:p w14:paraId="1C923687">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ascii="仿宋" w:hAnsi="仿宋" w:eastAsia="仿宋" w:cs="仿宋"/>
          <w:b/>
          <w:color w:val="auto"/>
          <w:sz w:val="24"/>
          <w:szCs w:val="24"/>
          <w:highlight w:val="none"/>
        </w:rPr>
        <w:t>一、</w:t>
      </w:r>
      <w:r>
        <w:rPr>
          <w:rFonts w:hint="eastAsia" w:ascii="仿宋" w:hAnsi="仿宋" w:eastAsia="仿宋" w:cs="仿宋"/>
          <w:b/>
          <w:color w:val="auto"/>
          <w:sz w:val="24"/>
          <w:szCs w:val="24"/>
          <w:highlight w:val="none"/>
        </w:rPr>
        <w:t>开标</w:t>
      </w:r>
      <w:r>
        <w:rPr>
          <w:rFonts w:ascii="仿宋" w:hAnsi="仿宋" w:eastAsia="仿宋" w:cs="仿宋"/>
          <w:b/>
          <w:color w:val="auto"/>
          <w:sz w:val="24"/>
          <w:szCs w:val="24"/>
          <w:highlight w:val="none"/>
        </w:rPr>
        <w:t>方式</w:t>
      </w:r>
    </w:p>
    <w:p w14:paraId="0E082856">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邮寄响应文件，另行开标</w:t>
      </w:r>
      <w:r>
        <w:rPr>
          <w:rFonts w:hint="eastAsia" w:ascii="仿宋" w:hAnsi="仿宋" w:eastAsia="仿宋" w:cs="仿宋"/>
          <w:bCs/>
          <w:color w:val="auto"/>
          <w:sz w:val="24"/>
          <w:szCs w:val="24"/>
          <w:highlight w:val="none"/>
        </w:rPr>
        <w:t>。</w:t>
      </w:r>
    </w:p>
    <w:p w14:paraId="1E406B03">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ascii="仿宋" w:hAnsi="仿宋" w:eastAsia="仿宋" w:cs="仿宋"/>
          <w:b/>
          <w:color w:val="auto"/>
          <w:sz w:val="24"/>
          <w:szCs w:val="24"/>
          <w:highlight w:val="none"/>
        </w:rPr>
        <w:t>二、</w:t>
      </w:r>
      <w:r>
        <w:rPr>
          <w:rFonts w:hint="eastAsia" w:ascii="仿宋" w:hAnsi="仿宋" w:eastAsia="仿宋" w:cs="仿宋"/>
          <w:b/>
          <w:color w:val="auto"/>
          <w:sz w:val="24"/>
          <w:szCs w:val="24"/>
          <w:highlight w:val="none"/>
        </w:rPr>
        <w:t>询价</w:t>
      </w:r>
      <w:r>
        <w:rPr>
          <w:rFonts w:ascii="仿宋" w:hAnsi="仿宋" w:eastAsia="仿宋" w:cs="仿宋"/>
          <w:b/>
          <w:color w:val="auto"/>
          <w:sz w:val="24"/>
          <w:szCs w:val="24"/>
          <w:highlight w:val="none"/>
        </w:rPr>
        <w:t>评审方法和标准</w:t>
      </w:r>
    </w:p>
    <w:p w14:paraId="6A46E6BE">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（一）询价评审方法</w:t>
      </w:r>
    </w:p>
    <w:p w14:paraId="18FF8F82">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rPr>
        <w:t>.本项目采用最低价中标法。</w:t>
      </w:r>
    </w:p>
    <w:p w14:paraId="4918871E">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rPr>
        <w:t>.对合格询价响应供应商所提供的询价响应文件内的询价技术响文件进行评选。</w:t>
      </w:r>
    </w:p>
    <w:p w14:paraId="7B0FDF79">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rPr>
        <w:t>.评标小组严格按照询价文件的规定要求、条件标准，对询价响应供应商所提供的完整计划标的物采购的服务是否符合采购需求，对其质量和服务等实质性响应内容进行比较评价。具体如下表：</w:t>
      </w:r>
    </w:p>
    <w:tbl>
      <w:tblPr>
        <w:tblStyle w:val="1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8051"/>
      </w:tblGrid>
      <w:tr w14:paraId="02CF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14:paraId="527D4370">
            <w:pPr>
              <w:snapToGrid w:val="0"/>
              <w:spacing w:line="360" w:lineRule="auto"/>
              <w:jc w:val="center"/>
              <w:textAlignment w:val="baseline"/>
              <w:rPr>
                <w:rFonts w:ascii="仿宋" w:hAnsi="仿宋" w:eastAsia="仿宋" w:cs="Times New Roman"/>
                <w:b/>
                <w:bCs/>
                <w:color w:val="auto"/>
                <w:kern w:val="0"/>
                <w:sz w:val="24"/>
                <w:szCs w:val="24"/>
                <w:highlight w:val="none"/>
              </w:rPr>
            </w:pPr>
            <w:r>
              <w:rPr>
                <w:rFonts w:hint="eastAsia" w:ascii="仿宋" w:hAnsi="仿宋" w:eastAsia="仿宋" w:cs="Times New Roman"/>
                <w:b/>
                <w:bCs/>
                <w:color w:val="auto"/>
                <w:kern w:val="0"/>
                <w:sz w:val="24"/>
                <w:szCs w:val="24"/>
                <w:highlight w:val="none"/>
              </w:rPr>
              <w:t>序号</w:t>
            </w:r>
          </w:p>
        </w:tc>
        <w:tc>
          <w:tcPr>
            <w:tcW w:w="8051" w:type="dxa"/>
            <w:tcBorders>
              <w:top w:val="single" w:color="auto" w:sz="4" w:space="0"/>
              <w:left w:val="single" w:color="auto" w:sz="4" w:space="0"/>
              <w:bottom w:val="single" w:color="auto" w:sz="4" w:space="0"/>
              <w:right w:val="single" w:color="auto" w:sz="4" w:space="0"/>
            </w:tcBorders>
            <w:vAlign w:val="center"/>
          </w:tcPr>
          <w:p w14:paraId="5BB0C2BA">
            <w:pPr>
              <w:snapToGrid w:val="0"/>
              <w:spacing w:line="360" w:lineRule="auto"/>
              <w:jc w:val="center"/>
              <w:textAlignment w:val="baseline"/>
              <w:rPr>
                <w:rFonts w:ascii="仿宋" w:hAnsi="仿宋" w:eastAsia="仿宋" w:cs="Times New Roman"/>
                <w:b/>
                <w:bCs/>
                <w:color w:val="auto"/>
                <w:kern w:val="0"/>
                <w:sz w:val="24"/>
                <w:szCs w:val="24"/>
                <w:highlight w:val="none"/>
              </w:rPr>
            </w:pPr>
            <w:r>
              <w:rPr>
                <w:rFonts w:hint="eastAsia" w:ascii="仿宋" w:hAnsi="仿宋" w:eastAsia="仿宋" w:cs="Times New Roman"/>
                <w:b/>
                <w:bCs/>
                <w:color w:val="auto"/>
                <w:kern w:val="0"/>
                <w:sz w:val="24"/>
                <w:szCs w:val="24"/>
                <w:highlight w:val="none"/>
              </w:rPr>
              <w:t>询价响应满足性评审比较内容</w:t>
            </w:r>
          </w:p>
        </w:tc>
      </w:tr>
      <w:tr w14:paraId="592A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35F359CE">
            <w:pPr>
              <w:snapToGrid w:val="0"/>
              <w:spacing w:line="360" w:lineRule="auto"/>
              <w:jc w:val="center"/>
              <w:textAlignment w:val="baseline"/>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1</w:t>
            </w:r>
          </w:p>
        </w:tc>
        <w:tc>
          <w:tcPr>
            <w:tcW w:w="8051" w:type="dxa"/>
            <w:tcBorders>
              <w:top w:val="single" w:color="auto" w:sz="4" w:space="0"/>
              <w:left w:val="single" w:color="auto" w:sz="4" w:space="0"/>
              <w:bottom w:val="single" w:color="auto" w:sz="4" w:space="0"/>
              <w:right w:val="single" w:color="auto" w:sz="4" w:space="0"/>
            </w:tcBorders>
            <w:vAlign w:val="center"/>
          </w:tcPr>
          <w:p w14:paraId="10AFE895">
            <w:pPr>
              <w:snapToGrid w:val="0"/>
              <w:spacing w:line="360" w:lineRule="auto"/>
              <w:textAlignment w:val="baseline"/>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供应商提供响应项目的需求产品的数量是否满足询价文件要求；</w:t>
            </w:r>
          </w:p>
        </w:tc>
      </w:tr>
      <w:tr w14:paraId="2F14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2DC16D8E">
            <w:pPr>
              <w:tabs>
                <w:tab w:val="left" w:pos="0"/>
              </w:tabs>
              <w:snapToGrid w:val="0"/>
              <w:spacing w:line="360" w:lineRule="auto"/>
              <w:jc w:val="center"/>
              <w:textAlignment w:val="baseline"/>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2</w:t>
            </w:r>
          </w:p>
        </w:tc>
        <w:tc>
          <w:tcPr>
            <w:tcW w:w="8051" w:type="dxa"/>
            <w:tcBorders>
              <w:top w:val="single" w:color="auto" w:sz="4" w:space="0"/>
              <w:left w:val="single" w:color="auto" w:sz="4" w:space="0"/>
              <w:bottom w:val="single" w:color="auto" w:sz="4" w:space="0"/>
              <w:right w:val="single" w:color="auto" w:sz="4" w:space="0"/>
            </w:tcBorders>
            <w:vAlign w:val="center"/>
          </w:tcPr>
          <w:p w14:paraId="4B3E3D75">
            <w:pPr>
              <w:snapToGrid w:val="0"/>
              <w:spacing w:line="360" w:lineRule="auto"/>
              <w:textAlignment w:val="baseline"/>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供应商提供的项目产品技术参数要求是否满足询价文件要求；</w:t>
            </w:r>
          </w:p>
        </w:tc>
      </w:tr>
      <w:tr w14:paraId="00FE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25175924">
            <w:pPr>
              <w:tabs>
                <w:tab w:val="left" w:pos="0"/>
              </w:tabs>
              <w:snapToGrid w:val="0"/>
              <w:spacing w:line="360" w:lineRule="auto"/>
              <w:jc w:val="center"/>
              <w:textAlignment w:val="baseline"/>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3</w:t>
            </w:r>
          </w:p>
        </w:tc>
        <w:tc>
          <w:tcPr>
            <w:tcW w:w="8051" w:type="dxa"/>
            <w:tcBorders>
              <w:top w:val="single" w:color="auto" w:sz="4" w:space="0"/>
              <w:left w:val="single" w:color="auto" w:sz="4" w:space="0"/>
              <w:bottom w:val="single" w:color="auto" w:sz="4" w:space="0"/>
              <w:right w:val="single" w:color="auto" w:sz="4" w:space="0"/>
            </w:tcBorders>
            <w:vAlign w:val="center"/>
          </w:tcPr>
          <w:p w14:paraId="199B044F">
            <w:pPr>
              <w:snapToGrid w:val="0"/>
              <w:spacing w:line="360" w:lineRule="auto"/>
              <w:textAlignment w:val="baseline"/>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询价响应供应商提供的产品的相关证明材料是否满足询价文件要求；</w:t>
            </w:r>
          </w:p>
        </w:tc>
      </w:tr>
      <w:tr w14:paraId="181D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34F3A040">
            <w:pPr>
              <w:tabs>
                <w:tab w:val="left" w:pos="0"/>
              </w:tabs>
              <w:snapToGrid w:val="0"/>
              <w:spacing w:line="360" w:lineRule="auto"/>
              <w:jc w:val="center"/>
              <w:textAlignment w:val="baseline"/>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4</w:t>
            </w:r>
          </w:p>
        </w:tc>
        <w:tc>
          <w:tcPr>
            <w:tcW w:w="8051" w:type="dxa"/>
            <w:tcBorders>
              <w:top w:val="single" w:color="auto" w:sz="4" w:space="0"/>
              <w:left w:val="single" w:color="auto" w:sz="4" w:space="0"/>
              <w:bottom w:val="single" w:color="auto" w:sz="4" w:space="0"/>
              <w:right w:val="single" w:color="auto" w:sz="4" w:space="0"/>
            </w:tcBorders>
            <w:vAlign w:val="center"/>
          </w:tcPr>
          <w:p w14:paraId="4D5006A2">
            <w:pPr>
              <w:snapToGrid w:val="0"/>
              <w:spacing w:line="360" w:lineRule="auto"/>
              <w:textAlignment w:val="baseline"/>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商务技术要求的响应是否满足询价文件要求。</w:t>
            </w:r>
          </w:p>
        </w:tc>
      </w:tr>
    </w:tbl>
    <w:p w14:paraId="5EE74DE0">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rPr>
        <w:t>.判定符合采购需求、质量和服务相等的询价响应供应商后，针对其报价进行最终判定。</w:t>
      </w:r>
    </w:p>
    <w:p w14:paraId="3283CAF0">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rPr>
        <w:t>.本次项目</w:t>
      </w:r>
      <w:r>
        <w:rPr>
          <w:rFonts w:hint="eastAsia" w:ascii="仿宋" w:hAnsi="仿宋" w:eastAsia="仿宋" w:cs="仿宋"/>
          <w:bCs/>
          <w:color w:val="auto"/>
          <w:sz w:val="24"/>
          <w:szCs w:val="24"/>
          <w:highlight w:val="none"/>
          <w:lang w:val="en-US" w:eastAsia="zh-CN"/>
        </w:rPr>
        <w:t>以分包预算为</w:t>
      </w:r>
      <w:r>
        <w:rPr>
          <w:rFonts w:hint="eastAsia" w:ascii="仿宋" w:hAnsi="仿宋" w:eastAsia="仿宋" w:cs="仿宋"/>
          <w:bCs/>
          <w:color w:val="auto"/>
          <w:sz w:val="24"/>
          <w:szCs w:val="24"/>
          <w:highlight w:val="none"/>
        </w:rPr>
        <w:t>最高限价，超出限价作无效询价响应处理。</w:t>
      </w:r>
    </w:p>
    <w:p w14:paraId="5E1D83B5">
      <w:pPr>
        <w:widowControl/>
        <w:shd w:val="clear" w:color="auto" w:fill="FFFFFF"/>
        <w:spacing w:line="360" w:lineRule="auto"/>
        <w:ind w:firstLine="480" w:firstLineChars="200"/>
        <w:jc w:val="left"/>
        <w:rPr>
          <w:rFonts w:hint="eastAsia" w:ascii="仿宋" w:hAnsi="仿宋" w:eastAsia="仿宋" w:cs="仿宋"/>
          <w:bCs/>
          <w:color w:val="auto"/>
          <w:sz w:val="24"/>
          <w:szCs w:val="24"/>
          <w:highlight w:val="none"/>
        </w:rPr>
      </w:pPr>
      <w:r>
        <w:rPr>
          <w:rFonts w:ascii="仿宋" w:hAnsi="仿宋" w:eastAsia="仿宋" w:cs="仿宋"/>
          <w:bCs/>
          <w:color w:val="auto"/>
          <w:sz w:val="24"/>
          <w:szCs w:val="24"/>
          <w:highlight w:val="none"/>
        </w:rPr>
        <w:t>6</w:t>
      </w:r>
      <w:r>
        <w:rPr>
          <w:rFonts w:hint="eastAsia" w:ascii="仿宋" w:hAnsi="仿宋" w:eastAsia="仿宋" w:cs="仿宋"/>
          <w:bCs/>
          <w:color w:val="auto"/>
          <w:sz w:val="24"/>
          <w:szCs w:val="24"/>
          <w:highlight w:val="none"/>
        </w:rPr>
        <w:t>.按照质量和服务均能满足询价采购文件实质性响应要求且报价最低的原则，确定成交供应商。</w:t>
      </w:r>
    </w:p>
    <w:p w14:paraId="09ABB1AD">
      <w:pPr>
        <w:widowControl/>
        <w:shd w:val="clear" w:color="auto" w:fill="FFFFFF"/>
        <w:spacing w:line="360" w:lineRule="auto"/>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w:t>
      </w:r>
      <w:r>
        <w:rPr>
          <w:rFonts w:ascii="仿宋" w:hAnsi="仿宋" w:eastAsia="仿宋" w:cs="仿宋"/>
          <w:bCs/>
          <w:color w:val="auto"/>
          <w:sz w:val="24"/>
          <w:szCs w:val="24"/>
          <w:highlight w:val="none"/>
        </w:rPr>
        <w:t>报价中明显偏离市场价格的不合理标书，我局采购评审小组将作废处理。</w:t>
      </w:r>
    </w:p>
    <w:p w14:paraId="77F3D53F">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二</w:t>
      </w:r>
      <w:r>
        <w:rPr>
          <w:rFonts w:ascii="仿宋" w:hAnsi="仿宋" w:eastAsia="仿宋" w:cs="仿宋"/>
          <w:bCs/>
          <w:color w:val="auto"/>
          <w:sz w:val="24"/>
          <w:szCs w:val="24"/>
          <w:highlight w:val="none"/>
        </w:rPr>
        <w:t>）成交供应商的确定</w:t>
      </w:r>
    </w:p>
    <w:p w14:paraId="1A8C6E68">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标小组根据全体成员签字的原始评审记录和结果编写评审报告。评标小组按报价由低到高的顺序排列，排名前三名的依次为第一、第二、第三成交候选人。询价响应报价相同的，现场抽签决定成交候选人排名顺序</w:t>
      </w:r>
      <w:r>
        <w:rPr>
          <w:rFonts w:ascii="仿宋" w:hAnsi="仿宋" w:eastAsia="仿宋" w:cs="仿宋"/>
          <w:bCs/>
          <w:color w:val="auto"/>
          <w:sz w:val="24"/>
          <w:szCs w:val="24"/>
          <w:highlight w:val="none"/>
        </w:rPr>
        <w:t>。</w:t>
      </w:r>
    </w:p>
    <w:p w14:paraId="2CCCEB8B">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一成交候选人原则上为成交供应商，成交价为其响应报价。当排名第一的成交候选人放弃成交、因不可抗力不能履行合同，或者被查实存在影响成交结果的违法行为等情形，不符合成交条件的，采购人可以按照评标小组提出的成交候选人名单排序依次确定其他成交候选人为成交供应商，也可以重新询价。</w:t>
      </w:r>
    </w:p>
    <w:p w14:paraId="7BB84010">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采购人委托</w:t>
      </w:r>
      <w:r>
        <w:rPr>
          <w:rFonts w:hint="eastAsia" w:ascii="仿宋" w:hAnsi="仿宋" w:eastAsia="仿宋" w:cs="仿宋"/>
          <w:bCs/>
          <w:color w:val="auto"/>
          <w:sz w:val="24"/>
          <w:szCs w:val="24"/>
          <w:highlight w:val="none"/>
        </w:rPr>
        <w:t>评标</w:t>
      </w:r>
      <w:r>
        <w:rPr>
          <w:rFonts w:ascii="仿宋" w:hAnsi="仿宋" w:eastAsia="仿宋" w:cs="仿宋"/>
          <w:bCs/>
          <w:color w:val="auto"/>
          <w:sz w:val="24"/>
          <w:szCs w:val="24"/>
          <w:highlight w:val="none"/>
        </w:rPr>
        <w:t>小组直接确定成交供应商。</w:t>
      </w:r>
    </w:p>
    <w:p w14:paraId="05F21FA3">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三</w:t>
      </w:r>
      <w:r>
        <w:rPr>
          <w:rFonts w:ascii="仿宋" w:hAnsi="仿宋" w:eastAsia="仿宋" w:cs="仿宋"/>
          <w:bCs/>
          <w:color w:val="auto"/>
          <w:sz w:val="24"/>
          <w:szCs w:val="24"/>
          <w:highlight w:val="none"/>
        </w:rPr>
        <w:t>）采购人代表宣布评审结果。</w:t>
      </w:r>
    </w:p>
    <w:p w14:paraId="2ED25AA8">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四</w:t>
      </w:r>
      <w:r>
        <w:rPr>
          <w:rFonts w:ascii="仿宋" w:hAnsi="仿宋" w:eastAsia="仿宋" w:cs="仿宋"/>
          <w:bCs/>
          <w:color w:val="auto"/>
          <w:sz w:val="24"/>
          <w:szCs w:val="24"/>
          <w:highlight w:val="none"/>
        </w:rPr>
        <w:t>）公告成交结果</w:t>
      </w:r>
    </w:p>
    <w:p w14:paraId="08EC8A41">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自确定成交供应商之日起2个工作日内，在</w:t>
      </w:r>
      <w:r>
        <w:rPr>
          <w:rFonts w:hint="eastAsia" w:ascii="仿宋" w:hAnsi="仿宋" w:eastAsia="仿宋" w:cs="仿宋"/>
          <w:bCs/>
          <w:color w:val="auto"/>
          <w:sz w:val="24"/>
          <w:szCs w:val="24"/>
          <w:highlight w:val="none"/>
        </w:rPr>
        <w:t>指定媒体上</w:t>
      </w:r>
      <w:r>
        <w:rPr>
          <w:rFonts w:ascii="仿宋" w:hAnsi="仿宋" w:eastAsia="仿宋" w:cs="仿宋"/>
          <w:bCs/>
          <w:color w:val="auto"/>
          <w:sz w:val="24"/>
          <w:szCs w:val="24"/>
          <w:highlight w:val="none"/>
        </w:rPr>
        <w:t>公告成交结果，公告期限为1个工作日。</w:t>
      </w:r>
    </w:p>
    <w:p w14:paraId="407F7BA4">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五</w:t>
      </w:r>
      <w:r>
        <w:rPr>
          <w:rFonts w:ascii="仿宋" w:hAnsi="仿宋" w:eastAsia="仿宋" w:cs="仿宋"/>
          <w:bCs/>
          <w:color w:val="auto"/>
          <w:sz w:val="24"/>
          <w:szCs w:val="24"/>
          <w:highlight w:val="none"/>
        </w:rPr>
        <w:t>）发放成交通知书</w:t>
      </w:r>
    </w:p>
    <w:p w14:paraId="79A15208">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公告成交结果的同时，</w:t>
      </w:r>
      <w:r>
        <w:rPr>
          <w:rFonts w:hint="eastAsia" w:ascii="仿宋" w:hAnsi="仿宋" w:eastAsia="仿宋" w:cs="仿宋"/>
          <w:bCs/>
          <w:color w:val="auto"/>
          <w:sz w:val="24"/>
          <w:szCs w:val="24"/>
          <w:highlight w:val="none"/>
          <w:lang w:eastAsia="zh-CN"/>
        </w:rPr>
        <w:t>采购人</w:t>
      </w:r>
      <w:r>
        <w:rPr>
          <w:rFonts w:ascii="仿宋" w:hAnsi="仿宋" w:eastAsia="仿宋" w:cs="仿宋"/>
          <w:bCs/>
          <w:color w:val="auto"/>
          <w:sz w:val="24"/>
          <w:szCs w:val="24"/>
          <w:highlight w:val="none"/>
        </w:rPr>
        <w:t>向成交供应商发放成交通知书。</w:t>
      </w:r>
    </w:p>
    <w:p w14:paraId="4B0CCCEB">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成交通知书发出后，采购人不得违法改变成交结果，成交供应商无正当理由不得放弃成交。</w:t>
      </w:r>
    </w:p>
    <w:p w14:paraId="09839D96">
      <w:pPr>
        <w:widowControl/>
        <w:jc w:val="left"/>
        <w:rPr>
          <w:rFonts w:ascii="仿宋" w:hAnsi="仿宋" w:eastAsia="仿宋"/>
          <w:b/>
          <w:bCs/>
          <w:color w:val="auto"/>
          <w:kern w:val="44"/>
          <w:sz w:val="44"/>
          <w:szCs w:val="44"/>
          <w:highlight w:val="none"/>
        </w:rPr>
      </w:pPr>
      <w:r>
        <w:rPr>
          <w:rFonts w:ascii="仿宋" w:hAnsi="仿宋" w:eastAsia="仿宋"/>
          <w:color w:val="auto"/>
          <w:highlight w:val="none"/>
        </w:rPr>
        <w:br w:type="page"/>
      </w:r>
    </w:p>
    <w:p w14:paraId="34ECE348">
      <w:pPr>
        <w:pStyle w:val="2"/>
        <w:spacing w:before="159" w:beforeLines="50" w:after="159" w:afterLines="50"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第五部分 合同条款及格式</w:t>
      </w:r>
    </w:p>
    <w:p w14:paraId="0E76AF94">
      <w:pPr>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合同编号：</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p>
    <w:p w14:paraId="0962F1D0">
      <w:pPr>
        <w:spacing w:line="480" w:lineRule="auto"/>
        <w:jc w:val="center"/>
        <w:rPr>
          <w:rFonts w:ascii="仿宋" w:hAnsi="仿宋" w:eastAsia="仿宋" w:cs="Times New Roman"/>
          <w:b/>
          <w:color w:val="auto"/>
          <w:sz w:val="24"/>
          <w:szCs w:val="24"/>
          <w:highlight w:val="none"/>
        </w:rPr>
      </w:pPr>
    </w:p>
    <w:p w14:paraId="1D265F31">
      <w:pPr>
        <w:spacing w:line="480" w:lineRule="auto"/>
        <w:jc w:val="center"/>
        <w:rPr>
          <w:rFonts w:ascii="仿宋" w:hAnsi="仿宋" w:eastAsia="仿宋" w:cs="Times New Roman"/>
          <w:b/>
          <w:color w:val="auto"/>
          <w:sz w:val="24"/>
          <w:szCs w:val="24"/>
          <w:highlight w:val="none"/>
        </w:rPr>
      </w:pPr>
    </w:p>
    <w:p w14:paraId="235E2DDA">
      <w:pPr>
        <w:spacing w:line="480" w:lineRule="auto"/>
        <w:jc w:val="center"/>
        <w:rPr>
          <w:rFonts w:ascii="仿宋" w:hAnsi="仿宋" w:eastAsia="仿宋" w:cs="Times New Roman"/>
          <w:b/>
          <w:color w:val="auto"/>
          <w:sz w:val="24"/>
          <w:szCs w:val="24"/>
          <w:highlight w:val="none"/>
        </w:rPr>
      </w:pPr>
    </w:p>
    <w:p w14:paraId="68F2E354">
      <w:pPr>
        <w:spacing w:line="480" w:lineRule="auto"/>
        <w:jc w:val="center"/>
        <w:rPr>
          <w:rFonts w:ascii="仿宋" w:hAnsi="仿宋" w:eastAsia="仿宋" w:cs="Times New Roman"/>
          <w:b/>
          <w:color w:val="auto"/>
          <w:sz w:val="24"/>
          <w:szCs w:val="24"/>
          <w:highlight w:val="none"/>
        </w:rPr>
      </w:pPr>
      <w:r>
        <w:rPr>
          <w:rFonts w:ascii="仿宋" w:hAnsi="仿宋" w:eastAsia="仿宋" w:cs="Times New Roman"/>
          <w:b/>
          <w:color w:val="auto"/>
          <w:sz w:val="24"/>
          <w:szCs w:val="24"/>
          <w:highlight w:val="none"/>
        </w:rPr>
        <w:t>政府采购合同</w:t>
      </w:r>
    </w:p>
    <w:p w14:paraId="2AA7E79F">
      <w:pPr>
        <w:spacing w:line="48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（货物类）</w:t>
      </w:r>
    </w:p>
    <w:p w14:paraId="57C3EEAB">
      <w:pPr>
        <w:autoSpaceDE w:val="0"/>
        <w:autoSpaceDN w:val="0"/>
        <w:adjustRightInd w:val="0"/>
        <w:jc w:val="left"/>
        <w:rPr>
          <w:rFonts w:ascii="仿宋" w:hAnsi="仿宋" w:eastAsia="仿宋" w:cs="Times New Roman"/>
          <w:color w:val="auto"/>
          <w:sz w:val="24"/>
          <w:szCs w:val="24"/>
          <w:highlight w:val="none"/>
        </w:rPr>
      </w:pPr>
    </w:p>
    <w:p w14:paraId="7E071BC5">
      <w:pPr>
        <w:autoSpaceDE w:val="0"/>
        <w:autoSpaceDN w:val="0"/>
        <w:adjustRightInd w:val="0"/>
        <w:jc w:val="left"/>
        <w:rPr>
          <w:rFonts w:ascii="仿宋" w:hAnsi="仿宋" w:eastAsia="仿宋" w:cs="Times New Roman"/>
          <w:color w:val="auto"/>
          <w:sz w:val="24"/>
          <w:szCs w:val="24"/>
          <w:highlight w:val="none"/>
        </w:rPr>
      </w:pPr>
    </w:p>
    <w:p w14:paraId="0F858C66">
      <w:pPr>
        <w:autoSpaceDE w:val="0"/>
        <w:autoSpaceDN w:val="0"/>
        <w:adjustRightInd w:val="0"/>
        <w:jc w:val="left"/>
        <w:rPr>
          <w:rFonts w:ascii="仿宋" w:hAnsi="仿宋" w:eastAsia="仿宋" w:cs="Times New Roman"/>
          <w:color w:val="auto"/>
          <w:sz w:val="24"/>
          <w:szCs w:val="24"/>
          <w:highlight w:val="none"/>
        </w:rPr>
      </w:pPr>
    </w:p>
    <w:p w14:paraId="347DD04E">
      <w:pPr>
        <w:autoSpaceDE w:val="0"/>
        <w:autoSpaceDN w:val="0"/>
        <w:adjustRightInd w:val="0"/>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第一部分 合同书</w:t>
      </w:r>
    </w:p>
    <w:p w14:paraId="5D58E7EF">
      <w:pPr>
        <w:spacing w:line="360" w:lineRule="auto"/>
        <w:ind w:firstLine="480" w:firstLineChars="200"/>
        <w:rPr>
          <w:rFonts w:ascii="仿宋" w:hAnsi="仿宋" w:eastAsia="仿宋" w:cs="Times New Roman"/>
          <w:color w:val="auto"/>
          <w:sz w:val="24"/>
          <w:szCs w:val="24"/>
          <w:highlight w:val="none"/>
        </w:rPr>
      </w:pPr>
    </w:p>
    <w:p w14:paraId="2037FFA6">
      <w:pPr>
        <w:autoSpaceDE w:val="0"/>
        <w:autoSpaceDN w:val="0"/>
        <w:adjustRightInd w:val="0"/>
        <w:jc w:val="left"/>
        <w:rPr>
          <w:rFonts w:ascii="仿宋" w:hAnsi="仿宋" w:eastAsia="仿宋" w:cs="Times New Roman"/>
          <w:color w:val="auto"/>
          <w:sz w:val="24"/>
          <w:szCs w:val="24"/>
          <w:highlight w:val="none"/>
        </w:rPr>
      </w:pPr>
    </w:p>
    <w:p w14:paraId="250E2DC8">
      <w:pPr>
        <w:spacing w:before="120" w:line="22" w:lineRule="atLeast"/>
        <w:rPr>
          <w:rFonts w:ascii="仿宋" w:hAnsi="仿宋" w:eastAsia="仿宋" w:cs="Times New Roman"/>
          <w:color w:val="auto"/>
          <w:sz w:val="24"/>
          <w:szCs w:val="24"/>
          <w:highlight w:val="none"/>
        </w:rPr>
      </w:pPr>
    </w:p>
    <w:p w14:paraId="14B818EC">
      <w:pPr>
        <w:spacing w:before="120" w:line="22" w:lineRule="atLeast"/>
        <w:ind w:left="96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项目名称：</w:t>
      </w:r>
      <w:r>
        <w:rPr>
          <w:rFonts w:hint="eastAsia" w:ascii="仿宋" w:hAnsi="仿宋" w:eastAsia="仿宋" w:cs="Times New Roman"/>
          <w:color w:val="auto"/>
          <w:sz w:val="24"/>
          <w:szCs w:val="24"/>
          <w:highlight w:val="none"/>
          <w:u w:val="single"/>
        </w:rPr>
        <w:t xml:space="preserve"> </w:t>
      </w:r>
    </w:p>
    <w:p w14:paraId="20B83ED6">
      <w:pPr>
        <w:spacing w:before="120" w:line="22" w:lineRule="atLeast"/>
        <w:rPr>
          <w:rFonts w:ascii="仿宋" w:hAnsi="仿宋" w:eastAsia="仿宋" w:cs="Times New Roman"/>
          <w:color w:val="auto"/>
          <w:sz w:val="24"/>
          <w:szCs w:val="24"/>
          <w:highlight w:val="none"/>
        </w:rPr>
      </w:pPr>
    </w:p>
    <w:p w14:paraId="21010EE4">
      <w:pPr>
        <w:spacing w:before="120" w:line="22" w:lineRule="atLeast"/>
        <w:rPr>
          <w:rFonts w:ascii="仿宋" w:hAnsi="仿宋" w:eastAsia="仿宋" w:cs="Times New Roman"/>
          <w:color w:val="auto"/>
          <w:sz w:val="24"/>
          <w:szCs w:val="24"/>
          <w:highlight w:val="none"/>
        </w:rPr>
      </w:pPr>
    </w:p>
    <w:p w14:paraId="43075E61">
      <w:pPr>
        <w:rPr>
          <w:rFonts w:ascii="仿宋" w:hAnsi="仿宋" w:eastAsia="仿宋" w:cs="Times New Roman"/>
          <w:color w:val="auto"/>
          <w:sz w:val="24"/>
          <w:szCs w:val="24"/>
          <w:highlight w:val="none"/>
        </w:rPr>
      </w:pPr>
    </w:p>
    <w:p w14:paraId="4C2B5E24">
      <w:pPr>
        <w:spacing w:before="120" w:line="22" w:lineRule="atLeast"/>
        <w:ind w:left="96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甲方：</w:t>
      </w:r>
      <w:r>
        <w:rPr>
          <w:rFonts w:hint="eastAsia" w:ascii="仿宋" w:hAnsi="仿宋" w:eastAsia="仿宋" w:cs="Times New Roman"/>
          <w:color w:val="auto"/>
          <w:sz w:val="24"/>
          <w:szCs w:val="24"/>
          <w:highlight w:val="none"/>
          <w:u w:val="single"/>
        </w:rPr>
        <w:t xml:space="preserve"> </w:t>
      </w:r>
    </w:p>
    <w:p w14:paraId="0A1C10AA">
      <w:pPr>
        <w:spacing w:before="120" w:line="22" w:lineRule="atLeast"/>
        <w:rPr>
          <w:rFonts w:ascii="仿宋" w:hAnsi="仿宋" w:eastAsia="仿宋" w:cs="Times New Roman"/>
          <w:color w:val="auto"/>
          <w:sz w:val="24"/>
          <w:szCs w:val="24"/>
          <w:highlight w:val="none"/>
        </w:rPr>
      </w:pPr>
    </w:p>
    <w:p w14:paraId="7B713D6F">
      <w:pPr>
        <w:spacing w:before="120" w:line="22" w:lineRule="atLeast"/>
        <w:ind w:left="96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乙方：</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p>
    <w:p w14:paraId="0A8998DD">
      <w:pPr>
        <w:spacing w:before="120" w:line="22" w:lineRule="atLeast"/>
        <w:rPr>
          <w:rFonts w:ascii="仿宋" w:hAnsi="仿宋" w:eastAsia="仿宋" w:cs="Times New Roman"/>
          <w:color w:val="auto"/>
          <w:sz w:val="24"/>
          <w:szCs w:val="24"/>
          <w:highlight w:val="none"/>
        </w:rPr>
      </w:pPr>
    </w:p>
    <w:p w14:paraId="341176F6">
      <w:pPr>
        <w:spacing w:before="120" w:line="22" w:lineRule="atLeast"/>
        <w:ind w:firstLine="960" w:firstLineChars="40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签订地：</w:t>
      </w:r>
      <w:r>
        <w:rPr>
          <w:rFonts w:hint="eastAsia" w:ascii="仿宋" w:hAnsi="仿宋" w:eastAsia="仿宋" w:cs="Times New Roman"/>
          <w:color w:val="auto"/>
          <w:sz w:val="24"/>
          <w:szCs w:val="24"/>
          <w:highlight w:val="none"/>
          <w:u w:val="single"/>
        </w:rPr>
        <w:t xml:space="preserve">                                     </w:t>
      </w:r>
    </w:p>
    <w:p w14:paraId="3E23A269">
      <w:pPr>
        <w:spacing w:before="120" w:line="22" w:lineRule="atLeast"/>
        <w:rPr>
          <w:rFonts w:ascii="仿宋" w:hAnsi="仿宋" w:eastAsia="仿宋" w:cs="Times New Roman"/>
          <w:color w:val="auto"/>
          <w:sz w:val="24"/>
          <w:szCs w:val="24"/>
          <w:highlight w:val="none"/>
        </w:rPr>
      </w:pPr>
    </w:p>
    <w:p w14:paraId="41C3924E">
      <w:pPr>
        <w:ind w:firstLine="960" w:firstLineChars="4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签订日期：</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年</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月</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日</w:t>
      </w:r>
    </w:p>
    <w:p w14:paraId="41D835F4">
      <w:pPr>
        <w:widowControl/>
        <w:jc w:val="left"/>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br w:type="page"/>
      </w:r>
    </w:p>
    <w:p w14:paraId="573D831A">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u w:val="single"/>
          <w:lang w:val="zh-CN"/>
        </w:rPr>
        <w:t xml:space="preserve">        </w:t>
      </w:r>
      <w:r>
        <w:rPr>
          <w:rFonts w:hint="eastAsia" w:ascii="仿宋" w:hAnsi="仿宋" w:eastAsia="仿宋" w:cs="Times New Roman"/>
          <w:color w:val="auto"/>
          <w:sz w:val="24"/>
          <w:szCs w:val="24"/>
          <w:highlight w:val="none"/>
          <w:lang w:val="zh-CN"/>
        </w:rPr>
        <w:t>年</w:t>
      </w:r>
      <w:r>
        <w:rPr>
          <w:rFonts w:hint="eastAsia" w:ascii="仿宋" w:hAnsi="仿宋" w:eastAsia="仿宋" w:cs="Times New Roman"/>
          <w:color w:val="auto"/>
          <w:sz w:val="24"/>
          <w:szCs w:val="24"/>
          <w:highlight w:val="none"/>
          <w:u w:val="single"/>
          <w:lang w:val="zh-CN"/>
        </w:rPr>
        <w:t xml:space="preserve">    </w:t>
      </w:r>
      <w:r>
        <w:rPr>
          <w:rFonts w:hint="eastAsia" w:ascii="仿宋" w:hAnsi="仿宋" w:eastAsia="仿宋" w:cs="Times New Roman"/>
          <w:color w:val="auto"/>
          <w:sz w:val="24"/>
          <w:szCs w:val="24"/>
          <w:highlight w:val="none"/>
          <w:lang w:val="zh-CN"/>
        </w:rPr>
        <w:t>月</w:t>
      </w:r>
      <w:r>
        <w:rPr>
          <w:rFonts w:hint="eastAsia" w:ascii="仿宋" w:hAnsi="仿宋" w:eastAsia="仿宋" w:cs="Times New Roman"/>
          <w:color w:val="auto"/>
          <w:sz w:val="24"/>
          <w:szCs w:val="24"/>
          <w:highlight w:val="none"/>
          <w:u w:val="single"/>
          <w:lang w:val="zh-CN"/>
        </w:rPr>
        <w:t xml:space="preserve">    </w:t>
      </w:r>
      <w:r>
        <w:rPr>
          <w:rFonts w:hint="eastAsia" w:ascii="仿宋" w:hAnsi="仿宋" w:eastAsia="仿宋" w:cs="Times New Roman"/>
          <w:color w:val="auto"/>
          <w:sz w:val="24"/>
          <w:szCs w:val="24"/>
          <w:highlight w:val="none"/>
          <w:lang w:val="zh-CN"/>
        </w:rPr>
        <w:t>日</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rPr>
        <w:t xml:space="preserve"> 南通市</w:t>
      </w:r>
      <w:r>
        <w:rPr>
          <w:rFonts w:hint="eastAsia" w:ascii="仿宋" w:hAnsi="仿宋" w:eastAsia="仿宋" w:cs="Times New Roman"/>
          <w:color w:val="auto"/>
          <w:sz w:val="24"/>
          <w:szCs w:val="24"/>
          <w:highlight w:val="none"/>
          <w:u w:val="single"/>
          <w:lang w:val="en-US" w:eastAsia="zh-CN"/>
        </w:rPr>
        <w:t>动物疫病预防控制</w:t>
      </w:r>
      <w:r>
        <w:rPr>
          <w:rFonts w:hint="eastAsia" w:ascii="仿宋" w:hAnsi="仿宋" w:eastAsia="仿宋" w:cs="Times New Roman"/>
          <w:color w:val="auto"/>
          <w:sz w:val="24"/>
          <w:szCs w:val="24"/>
          <w:highlight w:val="none"/>
          <w:u w:val="single"/>
        </w:rPr>
        <w:t xml:space="preserve">中心 </w:t>
      </w:r>
      <w:r>
        <w:rPr>
          <w:rFonts w:hint="eastAsia" w:ascii="仿宋" w:hAnsi="仿宋" w:eastAsia="仿宋" w:cs="Times New Roman"/>
          <w:color w:val="auto"/>
          <w:sz w:val="24"/>
          <w:szCs w:val="24"/>
          <w:highlight w:val="none"/>
        </w:rPr>
        <w:t>以</w:t>
      </w:r>
      <w:r>
        <w:rPr>
          <w:rFonts w:hint="eastAsia" w:ascii="仿宋" w:hAnsi="仿宋" w:eastAsia="仿宋" w:cs="Times New Roman"/>
          <w:color w:val="auto"/>
          <w:sz w:val="24"/>
          <w:szCs w:val="24"/>
          <w:highlight w:val="none"/>
          <w:u w:val="single"/>
        </w:rPr>
        <w:t xml:space="preserve"> 询价方式 </w:t>
      </w:r>
      <w:r>
        <w:rPr>
          <w:rFonts w:hint="eastAsia" w:ascii="仿宋" w:hAnsi="仿宋" w:eastAsia="仿宋" w:cs="Times New Roman"/>
          <w:color w:val="auto"/>
          <w:sz w:val="24"/>
          <w:szCs w:val="24"/>
          <w:highlight w:val="none"/>
        </w:rPr>
        <w:t>对</w:t>
      </w:r>
      <w:r>
        <w:rPr>
          <w:rFonts w:hint="eastAsia" w:ascii="仿宋" w:hAnsi="仿宋" w:eastAsia="仿宋" w:cs="Times New Roman"/>
          <w:color w:val="auto"/>
          <w:sz w:val="24"/>
          <w:szCs w:val="24"/>
          <w:highlight w:val="none"/>
          <w:u w:val="single"/>
          <w:lang w:val="en-US" w:eastAsia="zh-CN"/>
        </w:rPr>
        <w:t>2024年</w:t>
      </w:r>
      <w:r>
        <w:rPr>
          <w:rFonts w:hint="eastAsia" w:ascii="仿宋" w:hAnsi="仿宋" w:eastAsia="仿宋" w:cs="Times New Roman"/>
          <w:color w:val="auto"/>
          <w:sz w:val="24"/>
          <w:szCs w:val="24"/>
          <w:highlight w:val="none"/>
          <w:u w:val="single"/>
          <w:lang w:eastAsia="zh-CN"/>
        </w:rPr>
        <w:t>南通市</w:t>
      </w:r>
      <w:r>
        <w:rPr>
          <w:rFonts w:hint="eastAsia" w:ascii="仿宋" w:hAnsi="仿宋" w:eastAsia="仿宋" w:cs="Times New Roman"/>
          <w:color w:val="auto"/>
          <w:sz w:val="24"/>
          <w:szCs w:val="24"/>
          <w:highlight w:val="none"/>
          <w:u w:val="single"/>
          <w:lang w:val="en-US" w:eastAsia="zh-CN"/>
        </w:rPr>
        <w:t>动物疫病预防控制中心检测试剂耗材</w:t>
      </w:r>
      <w:r>
        <w:rPr>
          <w:rFonts w:hint="eastAsia" w:ascii="仿宋" w:hAnsi="仿宋" w:eastAsia="仿宋" w:cs="Times New Roman"/>
          <w:color w:val="auto"/>
          <w:sz w:val="24"/>
          <w:szCs w:val="24"/>
          <w:highlight w:val="none"/>
          <w:u w:val="single"/>
          <w:lang w:eastAsia="zh-CN"/>
        </w:rPr>
        <w:t>采购项目</w:t>
      </w:r>
      <w:r>
        <w:rPr>
          <w:rFonts w:hint="eastAsia" w:ascii="仿宋" w:hAnsi="仿宋" w:eastAsia="仿宋" w:cs="Times New Roman"/>
          <w:color w:val="auto"/>
          <w:sz w:val="24"/>
          <w:szCs w:val="24"/>
          <w:highlight w:val="none"/>
        </w:rPr>
        <w:t>进行了采购。经</w:t>
      </w:r>
      <w:r>
        <w:rPr>
          <w:rFonts w:hint="eastAsia" w:ascii="仿宋" w:hAnsi="仿宋" w:eastAsia="仿宋" w:cs="Times New Roman"/>
          <w:color w:val="auto"/>
          <w:sz w:val="24"/>
          <w:szCs w:val="24"/>
          <w:highlight w:val="none"/>
          <w:u w:val="single"/>
        </w:rPr>
        <w:t xml:space="preserve">   （相关评定主体名称）   </w:t>
      </w:r>
      <w:r>
        <w:rPr>
          <w:rFonts w:hint="eastAsia" w:ascii="仿宋" w:hAnsi="仿宋" w:eastAsia="仿宋" w:cs="Times New Roman"/>
          <w:color w:val="auto"/>
          <w:sz w:val="24"/>
          <w:szCs w:val="24"/>
          <w:highlight w:val="none"/>
        </w:rPr>
        <w:t>评定，</w:t>
      </w:r>
      <w:r>
        <w:rPr>
          <w:rFonts w:hint="eastAsia" w:ascii="仿宋" w:hAnsi="仿宋" w:eastAsia="仿宋" w:cs="Times New Roman"/>
          <w:color w:val="auto"/>
          <w:sz w:val="24"/>
          <w:szCs w:val="24"/>
          <w:highlight w:val="none"/>
          <w:u w:val="single"/>
        </w:rPr>
        <w:t xml:space="preserve">   （中标供应商名称）</w:t>
      </w:r>
      <w:r>
        <w:rPr>
          <w:rFonts w:hint="eastAsia" w:ascii="仿宋" w:hAnsi="仿宋" w:eastAsia="仿宋" w:cs="Times New Roman"/>
          <w:color w:val="auto"/>
          <w:sz w:val="24"/>
          <w:szCs w:val="24"/>
          <w:highlight w:val="none"/>
        </w:rPr>
        <w:t>为该项目中标供应商。现于中标通知书发出之日起三十日内，按照采购文件确定的事项签订本合同。</w:t>
      </w:r>
    </w:p>
    <w:p w14:paraId="47733A15">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zh-CN"/>
        </w:rPr>
        <w:t>根据《中华人民共和国合同法》、《中华人民共和国政府采购法》等相关法律法规之规定，按照平等、自愿、公平和诚实信用的原则，经</w:t>
      </w:r>
      <w:r>
        <w:rPr>
          <w:rFonts w:hint="eastAsia" w:ascii="仿宋" w:hAnsi="仿宋" w:eastAsia="仿宋" w:cs="Times New Roman"/>
          <w:color w:val="auto"/>
          <w:sz w:val="24"/>
          <w:szCs w:val="24"/>
          <w:highlight w:val="none"/>
          <w:u w:val="single"/>
        </w:rPr>
        <w:t xml:space="preserve"> 南通市</w:t>
      </w:r>
      <w:r>
        <w:rPr>
          <w:rFonts w:hint="eastAsia" w:ascii="仿宋" w:hAnsi="仿宋" w:eastAsia="仿宋" w:cs="Times New Roman"/>
          <w:color w:val="auto"/>
          <w:sz w:val="24"/>
          <w:szCs w:val="24"/>
          <w:highlight w:val="none"/>
          <w:u w:val="single"/>
          <w:lang w:val="en-US" w:eastAsia="zh-CN"/>
        </w:rPr>
        <w:t>动物疫病预防控制中心</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lang w:val="zh-CN"/>
        </w:rPr>
        <w:t>(以下简称：甲方)和</w:t>
      </w:r>
      <w:r>
        <w:rPr>
          <w:rFonts w:hint="eastAsia" w:ascii="仿宋" w:hAnsi="仿宋" w:eastAsia="仿宋" w:cs="Times New Roman"/>
          <w:color w:val="auto"/>
          <w:sz w:val="24"/>
          <w:szCs w:val="24"/>
          <w:highlight w:val="none"/>
          <w:u w:val="single"/>
        </w:rPr>
        <w:t xml:space="preserve">   （中标供应商名称）   </w:t>
      </w:r>
      <w:r>
        <w:rPr>
          <w:rFonts w:hint="eastAsia" w:ascii="仿宋" w:hAnsi="仿宋" w:eastAsia="仿宋" w:cs="Times New Roman"/>
          <w:color w:val="auto"/>
          <w:sz w:val="24"/>
          <w:szCs w:val="24"/>
          <w:highlight w:val="none"/>
          <w:lang w:val="zh-CN"/>
        </w:rPr>
        <w:t>(以下简称：乙方)协商一致，约定以下合同</w:t>
      </w:r>
      <w:r>
        <w:rPr>
          <w:rFonts w:hint="eastAsia" w:ascii="仿宋" w:hAnsi="仿宋" w:eastAsia="仿宋" w:cs="Times New Roman"/>
          <w:color w:val="auto"/>
          <w:sz w:val="24"/>
          <w:szCs w:val="24"/>
          <w:highlight w:val="none"/>
        </w:rPr>
        <w:t>条款，以兹共同遵守、全面履行。</w:t>
      </w:r>
    </w:p>
    <w:p w14:paraId="43B0CFA3">
      <w:pPr>
        <w:spacing w:line="360" w:lineRule="auto"/>
        <w:ind w:firstLine="482" w:firstLineChars="200"/>
        <w:rPr>
          <w:rFonts w:ascii="仿宋" w:hAnsi="仿宋" w:eastAsia="仿宋" w:cs="Times New Roman"/>
          <w:b/>
          <w:bCs/>
          <w:color w:val="auto"/>
          <w:sz w:val="24"/>
          <w:szCs w:val="24"/>
          <w:highlight w:val="none"/>
        </w:rPr>
      </w:pPr>
      <w:bookmarkStart w:id="95" w:name="_Toc2232"/>
      <w:bookmarkStart w:id="96" w:name="_Toc24059"/>
      <w:bookmarkStart w:id="97" w:name="_Toc3029"/>
      <w:r>
        <w:rPr>
          <w:rFonts w:hint="eastAsia" w:ascii="仿宋" w:hAnsi="仿宋" w:eastAsia="仿宋" w:cs="Times New Roman"/>
          <w:b/>
          <w:bCs/>
          <w:color w:val="auto"/>
          <w:sz w:val="24"/>
          <w:szCs w:val="24"/>
          <w:highlight w:val="none"/>
        </w:rPr>
        <w:t>1.1 合同组成部分</w:t>
      </w:r>
      <w:bookmarkEnd w:id="95"/>
      <w:bookmarkEnd w:id="96"/>
      <w:bookmarkEnd w:id="97"/>
    </w:p>
    <w:p w14:paraId="51DD5DF1">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5C8FFA7">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1.1.1 本合同及其补充合同、变更协议；</w:t>
      </w:r>
    </w:p>
    <w:p w14:paraId="63A620BE">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1.1.2 中标通知书；</w:t>
      </w:r>
    </w:p>
    <w:p w14:paraId="10DE8C4A">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1.1.3 投标文件（含澄清或者说明文件）；</w:t>
      </w:r>
    </w:p>
    <w:p w14:paraId="384BB721">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1.1.4 招标文件（含澄清或者修改文件）；</w:t>
      </w:r>
    </w:p>
    <w:p w14:paraId="3AB244FE">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1.1.5 其他相关采购文件。</w:t>
      </w:r>
    </w:p>
    <w:p w14:paraId="4303D06C">
      <w:pPr>
        <w:spacing w:line="360" w:lineRule="auto"/>
        <w:ind w:firstLine="482" w:firstLineChars="200"/>
        <w:rPr>
          <w:rFonts w:ascii="仿宋" w:hAnsi="仿宋" w:eastAsia="仿宋" w:cs="Times New Roman"/>
          <w:b/>
          <w:bCs/>
          <w:color w:val="auto"/>
          <w:sz w:val="24"/>
          <w:szCs w:val="24"/>
          <w:highlight w:val="none"/>
        </w:rPr>
      </w:pPr>
      <w:bookmarkStart w:id="98" w:name="_Toc27126"/>
      <w:bookmarkStart w:id="99" w:name="_Toc24300"/>
      <w:bookmarkStart w:id="100" w:name="_Toc21295"/>
      <w:r>
        <w:rPr>
          <w:rFonts w:hint="eastAsia" w:ascii="仿宋" w:hAnsi="仿宋" w:eastAsia="仿宋" w:cs="Times New Roman"/>
          <w:b/>
          <w:bCs/>
          <w:color w:val="auto"/>
          <w:sz w:val="24"/>
          <w:szCs w:val="24"/>
          <w:highlight w:val="none"/>
        </w:rPr>
        <w:t>1.2 货物</w:t>
      </w:r>
      <w:bookmarkEnd w:id="98"/>
      <w:bookmarkEnd w:id="99"/>
      <w:bookmarkEnd w:id="100"/>
    </w:p>
    <w:p w14:paraId="69E8E15F">
      <w:pPr>
        <w:spacing w:line="560" w:lineRule="exact"/>
        <w:ind w:firstLine="480" w:firstLineChars="20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1.2.1 货物</w:t>
      </w:r>
      <w:r>
        <w:rPr>
          <w:rFonts w:ascii="仿宋" w:hAnsi="仿宋" w:eastAsia="仿宋" w:cs="Times New Roman"/>
          <w:color w:val="auto"/>
          <w:sz w:val="24"/>
          <w:szCs w:val="24"/>
          <w:highlight w:val="none"/>
        </w:rPr>
        <w:t>名称：</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14:paraId="6E5C993A">
      <w:pPr>
        <w:spacing w:line="560" w:lineRule="exact"/>
        <w:ind w:firstLine="480" w:firstLineChars="20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1.2.2 货物</w:t>
      </w:r>
      <w:r>
        <w:rPr>
          <w:rFonts w:ascii="仿宋" w:hAnsi="仿宋" w:eastAsia="仿宋" w:cs="Times New Roman"/>
          <w:color w:val="auto"/>
          <w:sz w:val="24"/>
          <w:szCs w:val="24"/>
          <w:highlight w:val="none"/>
        </w:rPr>
        <w:t>数量：</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14:paraId="1D319B15">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1.2.3 货物质量：</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14:paraId="13E2EEFA">
      <w:pPr>
        <w:spacing w:line="360" w:lineRule="auto"/>
        <w:ind w:firstLine="482" w:firstLineChars="200"/>
        <w:rPr>
          <w:rFonts w:ascii="仿宋" w:hAnsi="仿宋" w:eastAsia="仿宋" w:cs="Times New Roman"/>
          <w:b/>
          <w:bCs/>
          <w:color w:val="auto"/>
          <w:sz w:val="24"/>
          <w:szCs w:val="24"/>
          <w:highlight w:val="none"/>
        </w:rPr>
      </w:pPr>
      <w:bookmarkStart w:id="101" w:name="_Toc21551"/>
      <w:bookmarkStart w:id="102" w:name="_Toc21631"/>
      <w:bookmarkStart w:id="103" w:name="_Toc23292"/>
      <w:r>
        <w:rPr>
          <w:rFonts w:hint="eastAsia" w:ascii="仿宋" w:hAnsi="仿宋" w:eastAsia="仿宋" w:cs="Times New Roman"/>
          <w:b/>
          <w:bCs/>
          <w:color w:val="auto"/>
          <w:sz w:val="24"/>
          <w:szCs w:val="24"/>
          <w:highlight w:val="none"/>
        </w:rPr>
        <w:t>1.</w:t>
      </w:r>
      <w:r>
        <w:rPr>
          <w:rFonts w:ascii="仿宋" w:hAnsi="仿宋" w:eastAsia="仿宋" w:cs="Times New Roman"/>
          <w:b/>
          <w:bCs/>
          <w:color w:val="auto"/>
          <w:sz w:val="24"/>
          <w:szCs w:val="24"/>
          <w:highlight w:val="none"/>
        </w:rPr>
        <w:t>3</w:t>
      </w:r>
      <w:r>
        <w:rPr>
          <w:rFonts w:hint="eastAsia" w:ascii="仿宋" w:hAnsi="仿宋" w:eastAsia="仿宋" w:cs="Times New Roman"/>
          <w:b/>
          <w:bCs/>
          <w:color w:val="auto"/>
          <w:sz w:val="24"/>
          <w:szCs w:val="24"/>
          <w:highlight w:val="none"/>
        </w:rPr>
        <w:t xml:space="preserve"> 价款</w:t>
      </w:r>
      <w:bookmarkEnd w:id="101"/>
      <w:bookmarkEnd w:id="102"/>
      <w:bookmarkEnd w:id="103"/>
    </w:p>
    <w:p w14:paraId="7B2F5C21">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本合同总价为</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rPr>
        <w:t>元</w:t>
      </w:r>
      <w:r>
        <w:rPr>
          <w:rFonts w:hint="eastAsia" w:ascii="仿宋" w:hAnsi="仿宋" w:eastAsia="仿宋" w:cs="Times New Roman"/>
          <w:color w:val="auto"/>
          <w:sz w:val="24"/>
          <w:szCs w:val="24"/>
          <w:highlight w:val="none"/>
        </w:rPr>
        <w:t>（大写：</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元人民币）</w:t>
      </w:r>
      <w:r>
        <w:rPr>
          <w:rFonts w:ascii="仿宋" w:hAnsi="仿宋" w:eastAsia="仿宋" w:cs="Times New Roman"/>
          <w:color w:val="auto"/>
          <w:sz w:val="24"/>
          <w:szCs w:val="24"/>
          <w:highlight w:val="none"/>
        </w:rPr>
        <w:t>。</w:t>
      </w:r>
    </w:p>
    <w:p w14:paraId="3DB24AC2">
      <w:pPr>
        <w:spacing w:line="560" w:lineRule="exact"/>
        <w:ind w:firstLine="480" w:firstLineChars="200"/>
        <w:rPr>
          <w:rFonts w:ascii="仿宋" w:hAnsi="仿宋" w:eastAsia="仿宋" w:cs="Times New Roman"/>
          <w:color w:val="auto"/>
          <w:sz w:val="24"/>
          <w:szCs w:val="24"/>
          <w:highlight w:val="none"/>
          <w:u w:val="single"/>
        </w:rPr>
      </w:pPr>
      <w:r>
        <w:rPr>
          <w:rFonts w:ascii="仿宋" w:hAnsi="仿宋" w:eastAsia="仿宋" w:cs="Times New Roman"/>
          <w:color w:val="auto"/>
          <w:sz w:val="24"/>
          <w:szCs w:val="24"/>
          <w:highlight w:val="none"/>
        </w:rPr>
        <w:t>分项价格：</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2BF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A0847F">
            <w:pPr>
              <w:spacing w:line="360" w:lineRule="auto"/>
              <w:jc w:val="center"/>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序号</w:t>
            </w:r>
          </w:p>
        </w:tc>
        <w:tc>
          <w:tcPr>
            <w:tcW w:w="3402" w:type="dxa"/>
            <w:vAlign w:val="center"/>
          </w:tcPr>
          <w:p w14:paraId="42F9CF75">
            <w:pPr>
              <w:spacing w:line="360" w:lineRule="auto"/>
              <w:ind w:firstLine="20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分项名称</w:t>
            </w:r>
          </w:p>
        </w:tc>
        <w:tc>
          <w:tcPr>
            <w:tcW w:w="2552" w:type="dxa"/>
            <w:vAlign w:val="center"/>
          </w:tcPr>
          <w:p w14:paraId="09E58E3F">
            <w:pPr>
              <w:spacing w:line="360" w:lineRule="auto"/>
              <w:jc w:val="center"/>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分项价格</w:t>
            </w:r>
          </w:p>
        </w:tc>
      </w:tr>
      <w:tr w14:paraId="5CD0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955BAE">
            <w:pPr>
              <w:spacing w:line="360" w:lineRule="auto"/>
              <w:ind w:firstLine="200"/>
              <w:jc w:val="center"/>
              <w:rPr>
                <w:rFonts w:ascii="仿宋" w:hAnsi="仿宋" w:eastAsia="仿宋" w:cs="Times New Roman"/>
                <w:color w:val="auto"/>
                <w:sz w:val="24"/>
                <w:szCs w:val="24"/>
                <w:highlight w:val="none"/>
              </w:rPr>
            </w:pPr>
          </w:p>
        </w:tc>
        <w:tc>
          <w:tcPr>
            <w:tcW w:w="3402" w:type="dxa"/>
            <w:vAlign w:val="center"/>
          </w:tcPr>
          <w:p w14:paraId="68812F26">
            <w:pPr>
              <w:spacing w:line="360" w:lineRule="auto"/>
              <w:ind w:firstLine="200"/>
              <w:jc w:val="center"/>
              <w:rPr>
                <w:rFonts w:ascii="仿宋" w:hAnsi="仿宋" w:eastAsia="仿宋" w:cs="Times New Roman"/>
                <w:color w:val="auto"/>
                <w:sz w:val="24"/>
                <w:szCs w:val="24"/>
                <w:highlight w:val="none"/>
              </w:rPr>
            </w:pPr>
          </w:p>
        </w:tc>
        <w:tc>
          <w:tcPr>
            <w:tcW w:w="2552" w:type="dxa"/>
            <w:vAlign w:val="center"/>
          </w:tcPr>
          <w:p w14:paraId="012644AD">
            <w:pPr>
              <w:spacing w:line="360" w:lineRule="auto"/>
              <w:ind w:firstLine="200"/>
              <w:jc w:val="center"/>
              <w:rPr>
                <w:rFonts w:ascii="仿宋" w:hAnsi="仿宋" w:eastAsia="仿宋" w:cs="Times New Roman"/>
                <w:color w:val="auto"/>
                <w:sz w:val="24"/>
                <w:szCs w:val="24"/>
                <w:highlight w:val="none"/>
              </w:rPr>
            </w:pPr>
          </w:p>
        </w:tc>
      </w:tr>
      <w:tr w14:paraId="744A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C0BB8D">
            <w:pPr>
              <w:spacing w:line="360" w:lineRule="auto"/>
              <w:ind w:firstLine="200"/>
              <w:jc w:val="center"/>
              <w:rPr>
                <w:rFonts w:ascii="仿宋" w:hAnsi="仿宋" w:eastAsia="仿宋" w:cs="Times New Roman"/>
                <w:color w:val="auto"/>
                <w:sz w:val="24"/>
                <w:szCs w:val="24"/>
                <w:highlight w:val="none"/>
              </w:rPr>
            </w:pPr>
          </w:p>
        </w:tc>
        <w:tc>
          <w:tcPr>
            <w:tcW w:w="3402" w:type="dxa"/>
            <w:vAlign w:val="center"/>
          </w:tcPr>
          <w:p w14:paraId="669B9F17">
            <w:pPr>
              <w:spacing w:line="360" w:lineRule="auto"/>
              <w:ind w:firstLine="200"/>
              <w:jc w:val="center"/>
              <w:rPr>
                <w:rFonts w:ascii="仿宋" w:hAnsi="仿宋" w:eastAsia="仿宋" w:cs="Times New Roman"/>
                <w:color w:val="auto"/>
                <w:sz w:val="24"/>
                <w:szCs w:val="24"/>
                <w:highlight w:val="none"/>
              </w:rPr>
            </w:pPr>
          </w:p>
        </w:tc>
        <w:tc>
          <w:tcPr>
            <w:tcW w:w="2552" w:type="dxa"/>
            <w:vAlign w:val="center"/>
          </w:tcPr>
          <w:p w14:paraId="6344A2A4">
            <w:pPr>
              <w:spacing w:line="360" w:lineRule="auto"/>
              <w:ind w:firstLine="200"/>
              <w:jc w:val="center"/>
              <w:rPr>
                <w:rFonts w:ascii="仿宋" w:hAnsi="仿宋" w:eastAsia="仿宋" w:cs="Times New Roman"/>
                <w:color w:val="auto"/>
                <w:sz w:val="24"/>
                <w:szCs w:val="24"/>
                <w:highlight w:val="none"/>
              </w:rPr>
            </w:pPr>
          </w:p>
        </w:tc>
      </w:tr>
      <w:tr w14:paraId="1B90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D0A8D3">
            <w:pPr>
              <w:spacing w:line="360" w:lineRule="auto"/>
              <w:ind w:firstLine="200"/>
              <w:jc w:val="center"/>
              <w:rPr>
                <w:rFonts w:ascii="仿宋" w:hAnsi="仿宋" w:eastAsia="仿宋" w:cs="Times New Roman"/>
                <w:color w:val="auto"/>
                <w:sz w:val="24"/>
                <w:szCs w:val="24"/>
                <w:highlight w:val="none"/>
              </w:rPr>
            </w:pPr>
          </w:p>
        </w:tc>
        <w:tc>
          <w:tcPr>
            <w:tcW w:w="3402" w:type="dxa"/>
            <w:vAlign w:val="center"/>
          </w:tcPr>
          <w:p w14:paraId="09A8A2BE">
            <w:pPr>
              <w:spacing w:line="360" w:lineRule="auto"/>
              <w:ind w:firstLine="200"/>
              <w:jc w:val="center"/>
              <w:rPr>
                <w:rFonts w:ascii="仿宋" w:hAnsi="仿宋" w:eastAsia="仿宋" w:cs="Times New Roman"/>
                <w:color w:val="auto"/>
                <w:sz w:val="24"/>
                <w:szCs w:val="24"/>
                <w:highlight w:val="none"/>
              </w:rPr>
            </w:pPr>
          </w:p>
        </w:tc>
        <w:tc>
          <w:tcPr>
            <w:tcW w:w="2552" w:type="dxa"/>
            <w:vAlign w:val="center"/>
          </w:tcPr>
          <w:p w14:paraId="55075030">
            <w:pPr>
              <w:spacing w:line="360" w:lineRule="auto"/>
              <w:ind w:firstLine="200"/>
              <w:jc w:val="center"/>
              <w:rPr>
                <w:rFonts w:ascii="仿宋" w:hAnsi="仿宋" w:eastAsia="仿宋" w:cs="Times New Roman"/>
                <w:color w:val="auto"/>
                <w:sz w:val="24"/>
                <w:szCs w:val="24"/>
                <w:highlight w:val="none"/>
              </w:rPr>
            </w:pPr>
          </w:p>
        </w:tc>
      </w:tr>
      <w:tr w14:paraId="2836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AA29BB">
            <w:pPr>
              <w:spacing w:line="360" w:lineRule="auto"/>
              <w:ind w:firstLine="200"/>
              <w:jc w:val="center"/>
              <w:rPr>
                <w:rFonts w:ascii="仿宋" w:hAnsi="仿宋" w:eastAsia="仿宋" w:cs="Times New Roman"/>
                <w:color w:val="auto"/>
                <w:sz w:val="24"/>
                <w:szCs w:val="24"/>
                <w:highlight w:val="none"/>
              </w:rPr>
            </w:pPr>
          </w:p>
        </w:tc>
        <w:tc>
          <w:tcPr>
            <w:tcW w:w="3402" w:type="dxa"/>
            <w:vAlign w:val="center"/>
          </w:tcPr>
          <w:p w14:paraId="0B8F5F6A">
            <w:pPr>
              <w:spacing w:line="360" w:lineRule="auto"/>
              <w:ind w:firstLine="200"/>
              <w:jc w:val="center"/>
              <w:rPr>
                <w:rFonts w:ascii="仿宋" w:hAnsi="仿宋" w:eastAsia="仿宋" w:cs="Times New Roman"/>
                <w:color w:val="auto"/>
                <w:sz w:val="24"/>
                <w:szCs w:val="24"/>
                <w:highlight w:val="none"/>
              </w:rPr>
            </w:pPr>
          </w:p>
        </w:tc>
        <w:tc>
          <w:tcPr>
            <w:tcW w:w="2552" w:type="dxa"/>
            <w:vAlign w:val="center"/>
          </w:tcPr>
          <w:p w14:paraId="5420525A">
            <w:pPr>
              <w:spacing w:line="360" w:lineRule="auto"/>
              <w:ind w:firstLine="200"/>
              <w:jc w:val="center"/>
              <w:rPr>
                <w:rFonts w:ascii="仿宋" w:hAnsi="仿宋" w:eastAsia="仿宋" w:cs="Times New Roman"/>
                <w:color w:val="auto"/>
                <w:sz w:val="24"/>
                <w:szCs w:val="24"/>
                <w:highlight w:val="none"/>
              </w:rPr>
            </w:pPr>
          </w:p>
        </w:tc>
      </w:tr>
      <w:tr w14:paraId="7BAA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D8568C8">
            <w:pPr>
              <w:spacing w:line="360" w:lineRule="auto"/>
              <w:ind w:firstLine="20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总价</w:t>
            </w:r>
          </w:p>
        </w:tc>
        <w:tc>
          <w:tcPr>
            <w:tcW w:w="2552" w:type="dxa"/>
            <w:vAlign w:val="center"/>
          </w:tcPr>
          <w:p w14:paraId="79ADF652">
            <w:pPr>
              <w:spacing w:line="360" w:lineRule="auto"/>
              <w:ind w:firstLine="200"/>
              <w:jc w:val="center"/>
              <w:rPr>
                <w:rFonts w:ascii="仿宋" w:hAnsi="仿宋" w:eastAsia="仿宋" w:cs="Times New Roman"/>
                <w:color w:val="auto"/>
                <w:sz w:val="24"/>
                <w:szCs w:val="24"/>
                <w:highlight w:val="none"/>
              </w:rPr>
            </w:pPr>
          </w:p>
        </w:tc>
      </w:tr>
    </w:tbl>
    <w:p w14:paraId="152EFEF5">
      <w:pPr>
        <w:spacing w:line="360" w:lineRule="auto"/>
        <w:ind w:firstLine="482" w:firstLineChars="200"/>
        <w:rPr>
          <w:rFonts w:ascii="仿宋" w:hAnsi="仿宋" w:eastAsia="仿宋" w:cs="Times New Roman"/>
          <w:b/>
          <w:bCs/>
          <w:color w:val="auto"/>
          <w:sz w:val="24"/>
          <w:szCs w:val="24"/>
          <w:highlight w:val="none"/>
        </w:rPr>
      </w:pPr>
      <w:bookmarkStart w:id="104" w:name="_Toc10340"/>
      <w:bookmarkStart w:id="105" w:name="_Toc22618"/>
      <w:bookmarkStart w:id="106" w:name="_Toc1814"/>
      <w:r>
        <w:rPr>
          <w:rFonts w:hint="eastAsia" w:ascii="仿宋" w:hAnsi="仿宋" w:eastAsia="仿宋" w:cs="Times New Roman"/>
          <w:b/>
          <w:bCs/>
          <w:color w:val="auto"/>
          <w:sz w:val="24"/>
          <w:szCs w:val="24"/>
          <w:highlight w:val="none"/>
        </w:rPr>
        <w:t>1.</w:t>
      </w:r>
      <w:r>
        <w:rPr>
          <w:rFonts w:ascii="仿宋" w:hAnsi="仿宋" w:eastAsia="仿宋" w:cs="Times New Roman"/>
          <w:b/>
          <w:bCs/>
          <w:color w:val="auto"/>
          <w:sz w:val="24"/>
          <w:szCs w:val="24"/>
          <w:highlight w:val="none"/>
        </w:rPr>
        <w:t>4</w:t>
      </w:r>
      <w:r>
        <w:rPr>
          <w:rFonts w:hint="eastAsia" w:ascii="仿宋" w:hAnsi="仿宋" w:eastAsia="仿宋" w:cs="Times New Roman"/>
          <w:b/>
          <w:bCs/>
          <w:color w:val="auto"/>
          <w:sz w:val="24"/>
          <w:szCs w:val="24"/>
          <w:highlight w:val="none"/>
        </w:rPr>
        <w:t xml:space="preserve"> </w:t>
      </w:r>
      <w:r>
        <w:rPr>
          <w:rFonts w:ascii="仿宋" w:hAnsi="仿宋" w:eastAsia="仿宋" w:cs="Times New Roman"/>
          <w:b/>
          <w:bCs/>
          <w:color w:val="auto"/>
          <w:sz w:val="24"/>
          <w:szCs w:val="24"/>
          <w:highlight w:val="none"/>
        </w:rPr>
        <w:t>付款方式和发票开具方式</w:t>
      </w:r>
      <w:bookmarkEnd w:id="104"/>
      <w:bookmarkEnd w:id="105"/>
      <w:bookmarkEnd w:id="106"/>
    </w:p>
    <w:p w14:paraId="6DEBBAE0">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1.4.1 </w:t>
      </w:r>
      <w:r>
        <w:rPr>
          <w:rFonts w:ascii="仿宋" w:hAnsi="仿宋" w:eastAsia="仿宋" w:cs="Times New Roman"/>
          <w:color w:val="auto"/>
          <w:sz w:val="24"/>
          <w:szCs w:val="24"/>
          <w:highlight w:val="none"/>
        </w:rPr>
        <w:t>付款方式：</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14:paraId="53961742">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1.4.2 发票开具方式：</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14:paraId="6B0EA3B8">
      <w:pPr>
        <w:spacing w:line="360" w:lineRule="auto"/>
        <w:ind w:firstLine="482" w:firstLineChars="200"/>
        <w:rPr>
          <w:rFonts w:ascii="仿宋" w:hAnsi="仿宋" w:eastAsia="仿宋" w:cs="Times New Roman"/>
          <w:b/>
          <w:bCs/>
          <w:color w:val="auto"/>
          <w:sz w:val="24"/>
          <w:szCs w:val="24"/>
          <w:highlight w:val="none"/>
        </w:rPr>
      </w:pPr>
      <w:bookmarkStart w:id="107" w:name="_Toc19304"/>
      <w:bookmarkStart w:id="108" w:name="_Toc2846"/>
      <w:bookmarkStart w:id="109" w:name="_Toc32071"/>
      <w:r>
        <w:rPr>
          <w:rFonts w:hint="eastAsia" w:ascii="仿宋" w:hAnsi="仿宋" w:eastAsia="仿宋" w:cs="Times New Roman"/>
          <w:b/>
          <w:bCs/>
          <w:color w:val="auto"/>
          <w:sz w:val="24"/>
          <w:szCs w:val="24"/>
          <w:highlight w:val="none"/>
        </w:rPr>
        <w:t>1.</w:t>
      </w:r>
      <w:r>
        <w:rPr>
          <w:rFonts w:ascii="仿宋" w:hAnsi="仿宋" w:eastAsia="仿宋" w:cs="Times New Roman"/>
          <w:b/>
          <w:bCs/>
          <w:color w:val="auto"/>
          <w:sz w:val="24"/>
          <w:szCs w:val="24"/>
          <w:highlight w:val="none"/>
        </w:rPr>
        <w:t>5</w:t>
      </w:r>
      <w:r>
        <w:rPr>
          <w:rFonts w:hint="eastAsia" w:ascii="仿宋" w:hAnsi="仿宋" w:eastAsia="仿宋" w:cs="Times New Roman"/>
          <w:b/>
          <w:bCs/>
          <w:color w:val="auto"/>
          <w:sz w:val="24"/>
          <w:szCs w:val="24"/>
          <w:highlight w:val="none"/>
        </w:rPr>
        <w:t xml:space="preserve"> </w:t>
      </w:r>
      <w:r>
        <w:rPr>
          <w:rFonts w:ascii="仿宋" w:hAnsi="仿宋" w:eastAsia="仿宋" w:cs="Times New Roman"/>
          <w:b/>
          <w:bCs/>
          <w:color w:val="auto"/>
          <w:sz w:val="24"/>
          <w:szCs w:val="24"/>
          <w:highlight w:val="none"/>
        </w:rPr>
        <w:t>货物交付期限</w:t>
      </w:r>
      <w:r>
        <w:rPr>
          <w:rFonts w:hint="eastAsia" w:ascii="仿宋" w:hAnsi="仿宋" w:eastAsia="仿宋" w:cs="Times New Roman"/>
          <w:b/>
          <w:bCs/>
          <w:color w:val="auto"/>
          <w:sz w:val="24"/>
          <w:szCs w:val="24"/>
          <w:highlight w:val="none"/>
        </w:rPr>
        <w:t>、地点和方式</w:t>
      </w:r>
      <w:bookmarkEnd w:id="107"/>
      <w:bookmarkEnd w:id="108"/>
      <w:bookmarkEnd w:id="109"/>
    </w:p>
    <w:p w14:paraId="7CA7CD79">
      <w:pPr>
        <w:spacing w:line="560" w:lineRule="exact"/>
        <w:ind w:firstLine="480" w:firstLineChars="20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1.5.1 交付期限</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14:paraId="1005112B">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1.5.2 交付地点</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14:paraId="55797F41">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1.5.3 交付方式：</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14:paraId="0F96199B">
      <w:pPr>
        <w:spacing w:line="360" w:lineRule="auto"/>
        <w:ind w:firstLine="482" w:firstLineChars="200"/>
        <w:rPr>
          <w:rFonts w:ascii="仿宋" w:hAnsi="仿宋" w:eastAsia="仿宋" w:cs="Times New Roman"/>
          <w:b/>
          <w:bCs/>
          <w:color w:val="auto"/>
          <w:sz w:val="24"/>
          <w:szCs w:val="24"/>
          <w:highlight w:val="none"/>
        </w:rPr>
      </w:pPr>
      <w:bookmarkStart w:id="110" w:name="_Toc27250"/>
      <w:bookmarkStart w:id="111" w:name="_Toc19554"/>
      <w:bookmarkStart w:id="112" w:name="_Toc21423"/>
      <w:r>
        <w:rPr>
          <w:rFonts w:hint="eastAsia" w:ascii="仿宋" w:hAnsi="仿宋" w:eastAsia="仿宋" w:cs="Times New Roman"/>
          <w:b/>
          <w:bCs/>
          <w:color w:val="auto"/>
          <w:sz w:val="24"/>
          <w:szCs w:val="24"/>
          <w:highlight w:val="none"/>
        </w:rPr>
        <w:t>1.6 违约责任</w:t>
      </w:r>
      <w:bookmarkEnd w:id="110"/>
      <w:bookmarkEnd w:id="111"/>
      <w:bookmarkEnd w:id="112"/>
    </w:p>
    <w:p w14:paraId="7FB0924B">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1.6.1 </w:t>
      </w:r>
      <w:r>
        <w:rPr>
          <w:rFonts w:ascii="仿宋" w:hAnsi="仿宋" w:eastAsia="仿宋" w:cs="Times New Roman"/>
          <w:color w:val="auto"/>
          <w:sz w:val="24"/>
          <w:szCs w:val="24"/>
          <w:highlight w:val="none"/>
        </w:rPr>
        <w:t>除不可抗力外，如果乙方没有按照本合同约定的期限</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地点和方式交付货物，那么甲方可要求乙方支付违约金</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违约金按每迟延交付货物一日的应交付而未交付货物价格的</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rPr>
        <w:t>%计算</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最高限额为</w:t>
      </w:r>
      <w:r>
        <w:rPr>
          <w:rFonts w:hint="eastAsia" w:ascii="仿宋" w:hAnsi="仿宋" w:eastAsia="仿宋" w:cs="Times New Roman"/>
          <w:color w:val="auto"/>
          <w:sz w:val="24"/>
          <w:szCs w:val="24"/>
          <w:highlight w:val="none"/>
        </w:rPr>
        <w:t>本</w:t>
      </w:r>
      <w:r>
        <w:rPr>
          <w:rFonts w:ascii="仿宋" w:hAnsi="仿宋" w:eastAsia="仿宋" w:cs="Times New Roman"/>
          <w:color w:val="auto"/>
          <w:sz w:val="24"/>
          <w:szCs w:val="24"/>
          <w:highlight w:val="none"/>
        </w:rPr>
        <w:t>合同总价的</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迟延交付货物的违约金计算数额达到前述最高限额之日起</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甲方有权在要求乙方支付违约金的同时</w:t>
      </w:r>
      <w:r>
        <w:rPr>
          <w:rFonts w:hint="eastAsia" w:ascii="仿宋" w:hAnsi="仿宋" w:eastAsia="仿宋" w:cs="Times New Roman"/>
          <w:color w:val="auto"/>
          <w:sz w:val="24"/>
          <w:szCs w:val="24"/>
          <w:highlight w:val="none"/>
        </w:rPr>
        <w:t>，书面通知乙方</w:t>
      </w:r>
      <w:r>
        <w:rPr>
          <w:rFonts w:ascii="仿宋" w:hAnsi="仿宋" w:eastAsia="仿宋" w:cs="Times New Roman"/>
          <w:color w:val="auto"/>
          <w:sz w:val="24"/>
          <w:szCs w:val="24"/>
          <w:highlight w:val="none"/>
        </w:rPr>
        <w:t>解除本合同</w:t>
      </w:r>
      <w:r>
        <w:rPr>
          <w:rFonts w:hint="eastAsia" w:ascii="仿宋" w:hAnsi="仿宋" w:eastAsia="仿宋" w:cs="Times New Roman"/>
          <w:color w:val="auto"/>
          <w:sz w:val="24"/>
          <w:szCs w:val="24"/>
          <w:highlight w:val="none"/>
        </w:rPr>
        <w:t>；</w:t>
      </w:r>
    </w:p>
    <w:p w14:paraId="13988334">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1.6.2 </w:t>
      </w:r>
      <w:r>
        <w:rPr>
          <w:rFonts w:ascii="仿宋" w:hAnsi="仿宋" w:eastAsia="仿宋" w:cs="Times New Roman"/>
          <w:color w:val="auto"/>
          <w:sz w:val="24"/>
          <w:szCs w:val="24"/>
          <w:highlight w:val="none"/>
        </w:rPr>
        <w:t>除不可抗力外，如果甲方没有按照本合同约定的付款方式付款，那么乙方可要求甲方支付违约金</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违约金按每迟延</w:t>
      </w:r>
      <w:r>
        <w:rPr>
          <w:rFonts w:hint="eastAsia" w:ascii="仿宋" w:hAnsi="仿宋" w:eastAsia="仿宋" w:cs="Times New Roman"/>
          <w:color w:val="auto"/>
          <w:sz w:val="24"/>
          <w:szCs w:val="24"/>
          <w:highlight w:val="none"/>
        </w:rPr>
        <w:t>付款</w:t>
      </w:r>
      <w:r>
        <w:rPr>
          <w:rFonts w:ascii="仿宋" w:hAnsi="仿宋" w:eastAsia="仿宋" w:cs="Times New Roman"/>
          <w:color w:val="auto"/>
          <w:sz w:val="24"/>
          <w:szCs w:val="24"/>
          <w:highlight w:val="none"/>
        </w:rPr>
        <w:t>一日的应付而未付款的</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rPr>
        <w:t>%计算</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最高限额为</w:t>
      </w:r>
      <w:r>
        <w:rPr>
          <w:rFonts w:hint="eastAsia" w:ascii="仿宋" w:hAnsi="仿宋" w:eastAsia="仿宋" w:cs="Times New Roman"/>
          <w:color w:val="auto"/>
          <w:sz w:val="24"/>
          <w:szCs w:val="24"/>
          <w:highlight w:val="none"/>
        </w:rPr>
        <w:t>本</w:t>
      </w:r>
      <w:r>
        <w:rPr>
          <w:rFonts w:ascii="仿宋" w:hAnsi="仿宋" w:eastAsia="仿宋" w:cs="Times New Roman"/>
          <w:color w:val="auto"/>
          <w:sz w:val="24"/>
          <w:szCs w:val="24"/>
          <w:highlight w:val="none"/>
        </w:rPr>
        <w:t>合同总价的</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迟延</w:t>
      </w:r>
      <w:r>
        <w:rPr>
          <w:rFonts w:hint="eastAsia" w:ascii="仿宋" w:hAnsi="仿宋" w:eastAsia="仿宋" w:cs="Times New Roman"/>
          <w:color w:val="auto"/>
          <w:sz w:val="24"/>
          <w:szCs w:val="24"/>
          <w:highlight w:val="none"/>
        </w:rPr>
        <w:t>付款</w:t>
      </w:r>
      <w:r>
        <w:rPr>
          <w:rFonts w:ascii="仿宋" w:hAnsi="仿宋" w:eastAsia="仿宋" w:cs="Times New Roman"/>
          <w:color w:val="auto"/>
          <w:sz w:val="24"/>
          <w:szCs w:val="24"/>
          <w:highlight w:val="none"/>
        </w:rPr>
        <w:t>的违约金计算数额达到前述最高限额之日起</w:t>
      </w:r>
      <w:r>
        <w:rPr>
          <w:rFonts w:hint="eastAsia" w:ascii="仿宋" w:hAnsi="仿宋" w:eastAsia="仿宋" w:cs="Times New Roman"/>
          <w:color w:val="auto"/>
          <w:sz w:val="24"/>
          <w:szCs w:val="24"/>
          <w:highlight w:val="none"/>
        </w:rPr>
        <w:t>，乙</w:t>
      </w:r>
      <w:r>
        <w:rPr>
          <w:rFonts w:ascii="仿宋" w:hAnsi="仿宋" w:eastAsia="仿宋" w:cs="Times New Roman"/>
          <w:color w:val="auto"/>
          <w:sz w:val="24"/>
          <w:szCs w:val="24"/>
          <w:highlight w:val="none"/>
        </w:rPr>
        <w:t>方有权在要求甲方支付违约金的同时</w:t>
      </w:r>
      <w:r>
        <w:rPr>
          <w:rFonts w:hint="eastAsia" w:ascii="仿宋" w:hAnsi="仿宋" w:eastAsia="仿宋" w:cs="Times New Roman"/>
          <w:color w:val="auto"/>
          <w:sz w:val="24"/>
          <w:szCs w:val="24"/>
          <w:highlight w:val="none"/>
        </w:rPr>
        <w:t>，书面通知甲方</w:t>
      </w:r>
      <w:r>
        <w:rPr>
          <w:rFonts w:ascii="仿宋" w:hAnsi="仿宋" w:eastAsia="仿宋" w:cs="Times New Roman"/>
          <w:color w:val="auto"/>
          <w:sz w:val="24"/>
          <w:szCs w:val="24"/>
          <w:highlight w:val="none"/>
        </w:rPr>
        <w:t>解除本合同</w:t>
      </w:r>
      <w:r>
        <w:rPr>
          <w:rFonts w:hint="eastAsia" w:ascii="仿宋" w:hAnsi="仿宋" w:eastAsia="仿宋" w:cs="Times New Roman"/>
          <w:color w:val="auto"/>
          <w:sz w:val="24"/>
          <w:szCs w:val="24"/>
          <w:highlight w:val="none"/>
        </w:rPr>
        <w:t>；</w:t>
      </w:r>
    </w:p>
    <w:p w14:paraId="5829FCCA">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2806D32">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40C429C">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8D86615">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364CBE54">
      <w:pPr>
        <w:spacing w:line="360" w:lineRule="auto"/>
        <w:ind w:firstLine="482" w:firstLineChars="200"/>
        <w:rPr>
          <w:rFonts w:ascii="仿宋" w:hAnsi="仿宋" w:eastAsia="仿宋" w:cs="Times New Roman"/>
          <w:b/>
          <w:bCs/>
          <w:color w:val="auto"/>
          <w:sz w:val="24"/>
          <w:szCs w:val="24"/>
          <w:highlight w:val="none"/>
        </w:rPr>
      </w:pPr>
      <w:bookmarkStart w:id="113" w:name="_Toc28375"/>
      <w:bookmarkStart w:id="114" w:name="_Toc15583"/>
      <w:bookmarkStart w:id="115" w:name="_Toc16021"/>
      <w:r>
        <w:rPr>
          <w:rFonts w:hint="eastAsia" w:ascii="仿宋" w:hAnsi="仿宋" w:eastAsia="仿宋" w:cs="Times New Roman"/>
          <w:b/>
          <w:bCs/>
          <w:color w:val="auto"/>
          <w:sz w:val="24"/>
          <w:szCs w:val="24"/>
          <w:highlight w:val="none"/>
        </w:rPr>
        <w:t>1.7 合同</w:t>
      </w:r>
      <w:r>
        <w:rPr>
          <w:rFonts w:ascii="仿宋" w:hAnsi="仿宋" w:eastAsia="仿宋" w:cs="Times New Roman"/>
          <w:b/>
          <w:bCs/>
          <w:color w:val="auto"/>
          <w:sz w:val="24"/>
          <w:szCs w:val="24"/>
          <w:highlight w:val="none"/>
        </w:rPr>
        <w:t>争议的解决</w:t>
      </w:r>
      <w:bookmarkEnd w:id="113"/>
      <w:bookmarkEnd w:id="114"/>
      <w:bookmarkEnd w:id="115"/>
    </w:p>
    <w:p w14:paraId="435C93E4">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本合</w:t>
      </w:r>
      <w:r>
        <w:rPr>
          <w:rFonts w:ascii="仿宋" w:hAnsi="仿宋" w:eastAsia="仿宋" w:cs="Times New Roman"/>
          <w:color w:val="auto"/>
          <w:sz w:val="24"/>
          <w:szCs w:val="24"/>
          <w:highlight w:val="none"/>
        </w:rPr>
        <w:t>同履行过程中发生的任何争议，双方当事人均可</w:t>
      </w:r>
      <w:r>
        <w:rPr>
          <w:rFonts w:hint="eastAsia" w:ascii="仿宋" w:hAnsi="仿宋" w:eastAsia="仿宋" w:cs="Times New Roman"/>
          <w:color w:val="auto"/>
          <w:sz w:val="24"/>
          <w:szCs w:val="24"/>
          <w:highlight w:val="none"/>
        </w:rPr>
        <w:t>通过和解或者调解解决；不愿和解、调解或者和解、调解不成的，可以选择下列第</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种方式解决：</w:t>
      </w:r>
    </w:p>
    <w:p w14:paraId="38CFAEA8">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1.7.1 将争议提交</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仲裁委员会依申请仲裁时其现行有效的仲裁规则裁决；</w:t>
      </w:r>
    </w:p>
    <w:p w14:paraId="62A1B978">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1.7.2 向</w:t>
      </w:r>
      <w:r>
        <w:rPr>
          <w:rFonts w:hint="eastAsia" w:ascii="仿宋" w:hAnsi="仿宋" w:eastAsia="仿宋" w:cs="Times New Roman"/>
          <w:color w:val="auto"/>
          <w:sz w:val="24"/>
          <w:szCs w:val="24"/>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Times New Roman"/>
          <w:color w:val="auto"/>
          <w:sz w:val="24"/>
          <w:szCs w:val="24"/>
          <w:highlight w:val="none"/>
        </w:rPr>
        <w:t>人民法院起诉。</w:t>
      </w:r>
    </w:p>
    <w:p w14:paraId="3FDA9CB2">
      <w:pPr>
        <w:spacing w:line="360" w:lineRule="auto"/>
        <w:ind w:firstLine="482" w:firstLineChars="200"/>
        <w:rPr>
          <w:rFonts w:ascii="仿宋" w:hAnsi="仿宋" w:eastAsia="仿宋" w:cs="Times New Roman"/>
          <w:b/>
          <w:bCs/>
          <w:color w:val="auto"/>
          <w:sz w:val="24"/>
          <w:szCs w:val="24"/>
          <w:highlight w:val="none"/>
        </w:rPr>
      </w:pPr>
      <w:bookmarkStart w:id="116" w:name="_Toc7245"/>
      <w:bookmarkStart w:id="117" w:name="_Toc15322"/>
      <w:bookmarkStart w:id="118" w:name="_Toc11173"/>
      <w:r>
        <w:rPr>
          <w:rFonts w:hint="eastAsia" w:ascii="仿宋" w:hAnsi="仿宋" w:eastAsia="仿宋" w:cs="Times New Roman"/>
          <w:b/>
          <w:bCs/>
          <w:color w:val="auto"/>
          <w:sz w:val="24"/>
          <w:szCs w:val="24"/>
          <w:highlight w:val="none"/>
        </w:rPr>
        <w:t xml:space="preserve">1.8 </w:t>
      </w:r>
      <w:r>
        <w:rPr>
          <w:rFonts w:ascii="仿宋" w:hAnsi="仿宋" w:eastAsia="仿宋" w:cs="Times New Roman"/>
          <w:b/>
          <w:bCs/>
          <w:color w:val="auto"/>
          <w:sz w:val="24"/>
          <w:szCs w:val="24"/>
          <w:highlight w:val="none"/>
        </w:rPr>
        <w:t>合同生效</w:t>
      </w:r>
      <w:bookmarkEnd w:id="116"/>
      <w:bookmarkEnd w:id="117"/>
      <w:bookmarkEnd w:id="118"/>
    </w:p>
    <w:p w14:paraId="7E1562DA">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本合同自</w:t>
      </w:r>
      <w:r>
        <w:rPr>
          <w:rFonts w:hint="eastAsia" w:ascii="仿宋" w:hAnsi="仿宋" w:eastAsia="仿宋" w:cs="Times New Roman"/>
          <w:color w:val="auto"/>
          <w:sz w:val="24"/>
          <w:szCs w:val="24"/>
          <w:highlight w:val="none"/>
        </w:rPr>
        <w:t>双方当事人盖章或者签字时</w:t>
      </w:r>
      <w:r>
        <w:rPr>
          <w:rFonts w:ascii="仿宋" w:hAnsi="仿宋" w:eastAsia="仿宋" w:cs="Times New Roman"/>
          <w:color w:val="auto"/>
          <w:sz w:val="24"/>
          <w:szCs w:val="24"/>
          <w:highlight w:val="none"/>
        </w:rPr>
        <w:t>生效。</w:t>
      </w:r>
    </w:p>
    <w:p w14:paraId="0770ECE9">
      <w:pPr>
        <w:widowControl/>
        <w:jc w:val="left"/>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br w:type="page"/>
      </w:r>
    </w:p>
    <w:p w14:paraId="60AB3D4E">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b/>
          <w:color w:val="auto"/>
          <w:sz w:val="24"/>
          <w:szCs w:val="24"/>
          <w:highlight w:val="none"/>
          <w:lang w:val="zh-CN"/>
        </w:rPr>
        <w:t>甲方</w:t>
      </w:r>
      <w:r>
        <w:rPr>
          <w:rFonts w:hint="eastAsia" w:ascii="仿宋" w:hAnsi="仿宋" w:eastAsia="仿宋" w:cs="Times New Roman"/>
          <w:color w:val="auto"/>
          <w:sz w:val="24"/>
          <w:szCs w:val="24"/>
          <w:highlight w:val="none"/>
          <w:lang w:val="zh-CN"/>
        </w:rPr>
        <w:t xml:space="preserve">：                             </w:t>
      </w:r>
      <w:r>
        <w:rPr>
          <w:rFonts w:hint="eastAsia" w:ascii="仿宋" w:hAnsi="仿宋" w:eastAsia="仿宋" w:cs="Times New Roman"/>
          <w:b/>
          <w:color w:val="auto"/>
          <w:sz w:val="24"/>
          <w:szCs w:val="24"/>
          <w:highlight w:val="none"/>
          <w:lang w:val="zh-CN"/>
        </w:rPr>
        <w:t xml:space="preserve">      乙方</w:t>
      </w:r>
      <w:r>
        <w:rPr>
          <w:rFonts w:hint="eastAsia" w:ascii="仿宋" w:hAnsi="仿宋" w:eastAsia="仿宋" w:cs="Times New Roman"/>
          <w:color w:val="auto"/>
          <w:sz w:val="24"/>
          <w:szCs w:val="24"/>
          <w:highlight w:val="none"/>
          <w:lang w:val="zh-CN"/>
        </w:rPr>
        <w:t>：</w:t>
      </w:r>
    </w:p>
    <w:p w14:paraId="72C30DCE">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统一社会信用代码：                        统一社会信用代码或身份证号码：</w:t>
      </w:r>
    </w:p>
    <w:p w14:paraId="0C447359">
      <w:pPr>
        <w:autoSpaceDE w:val="0"/>
        <w:autoSpaceDN w:val="0"/>
        <w:adjustRightInd w:val="0"/>
        <w:spacing w:line="560" w:lineRule="exact"/>
        <w:rPr>
          <w:rFonts w:ascii="仿宋" w:hAnsi="仿宋" w:eastAsia="仿宋" w:cs="Times New Roman"/>
          <w:color w:val="auto"/>
          <w:sz w:val="24"/>
          <w:szCs w:val="24"/>
          <w:highlight w:val="none"/>
          <w:lang w:val="zh-CN"/>
        </w:rPr>
      </w:pPr>
    </w:p>
    <w:p w14:paraId="46F540DA">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住所：                                   住所：</w:t>
      </w:r>
    </w:p>
    <w:p w14:paraId="171F5ABA">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法定代表人或                             法定代表人</w:t>
      </w:r>
    </w:p>
    <w:p w14:paraId="49C54A38">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 xml:space="preserve">授权代表（签字）：                        或授权代表（签字）: </w:t>
      </w:r>
    </w:p>
    <w:p w14:paraId="17A39F89">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联系人：                                 联系人：</w:t>
      </w:r>
    </w:p>
    <w:p w14:paraId="26946778">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约定送达地址：                           约定送达地址：</w:t>
      </w:r>
    </w:p>
    <w:p w14:paraId="3EF96CA6">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邮政编码：                               邮政编码：</w:t>
      </w:r>
    </w:p>
    <w:p w14:paraId="6E42B2AD">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 xml:space="preserve">电话:                                    电话: </w:t>
      </w:r>
    </w:p>
    <w:p w14:paraId="71BEF35F">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传真:                                    传真:</w:t>
      </w:r>
    </w:p>
    <w:p w14:paraId="27B23823">
      <w:pPr>
        <w:autoSpaceDE w:val="0"/>
        <w:autoSpaceDN w:val="0"/>
        <w:adjustRightInd w:val="0"/>
        <w:spacing w:line="560" w:lineRule="exac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zh-CN"/>
        </w:rPr>
        <w:t>电子邮箱：                               电子邮箱：</w:t>
      </w:r>
    </w:p>
    <w:p w14:paraId="038D3BEB">
      <w:pPr>
        <w:autoSpaceDE w:val="0"/>
        <w:autoSpaceDN w:val="0"/>
        <w:adjustRightInd w:val="0"/>
        <w:spacing w:line="560" w:lineRule="exac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开户银行：                               开户银行： </w:t>
      </w:r>
    </w:p>
    <w:p w14:paraId="73C23073">
      <w:pPr>
        <w:autoSpaceDE w:val="0"/>
        <w:autoSpaceDN w:val="0"/>
        <w:adjustRightInd w:val="0"/>
        <w:spacing w:line="560" w:lineRule="exac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开户名称：                               开户名称： </w:t>
      </w:r>
    </w:p>
    <w:p w14:paraId="6381FE7C">
      <w:pPr>
        <w:autoSpaceDE w:val="0"/>
        <w:autoSpaceDN w:val="0"/>
        <w:adjustRightInd w:val="0"/>
        <w:spacing w:line="560" w:lineRule="exac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开户账号：</w:t>
      </w:r>
      <w:r>
        <w:rPr>
          <w:rFonts w:hint="eastAsia" w:ascii="仿宋" w:hAnsi="仿宋" w:eastAsia="仿宋" w:cs="Times New Roman"/>
          <w:color w:val="auto"/>
          <w:sz w:val="24"/>
          <w:szCs w:val="24"/>
          <w:highlight w:val="none"/>
          <w:lang w:val="zh-CN"/>
        </w:rPr>
        <w:t xml:space="preserve">                               </w:t>
      </w:r>
      <w:r>
        <w:rPr>
          <w:rFonts w:hint="eastAsia" w:ascii="仿宋" w:hAnsi="仿宋" w:eastAsia="仿宋" w:cs="Times New Roman"/>
          <w:color w:val="auto"/>
          <w:sz w:val="24"/>
          <w:szCs w:val="24"/>
          <w:highlight w:val="none"/>
        </w:rPr>
        <w:t>开户账号：</w:t>
      </w:r>
    </w:p>
    <w:p w14:paraId="18BE037A">
      <w:pPr>
        <w:widowControl/>
        <w:jc w:val="left"/>
        <w:rPr>
          <w:rFonts w:ascii="仿宋" w:hAnsi="仿宋" w:eastAsia="仿宋" w:cs="Times New Roman"/>
          <w:b/>
          <w:color w:val="auto"/>
          <w:sz w:val="24"/>
          <w:szCs w:val="24"/>
          <w:highlight w:val="none"/>
        </w:rPr>
      </w:pPr>
      <w:r>
        <w:rPr>
          <w:rFonts w:ascii="仿宋" w:hAnsi="仿宋" w:eastAsia="仿宋" w:cs="Times New Roman"/>
          <w:b/>
          <w:color w:val="auto"/>
          <w:sz w:val="24"/>
          <w:szCs w:val="24"/>
          <w:highlight w:val="none"/>
        </w:rPr>
        <w:br w:type="page"/>
      </w:r>
    </w:p>
    <w:p w14:paraId="56E79AC1">
      <w:pPr>
        <w:autoSpaceDE w:val="0"/>
        <w:autoSpaceDN w:val="0"/>
        <w:adjustRightInd w:val="0"/>
        <w:spacing w:line="560" w:lineRule="exact"/>
        <w:ind w:firstLine="200"/>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第二部分 合同一般条款</w:t>
      </w:r>
    </w:p>
    <w:p w14:paraId="1240EEF8">
      <w:pPr>
        <w:spacing w:line="360" w:lineRule="auto"/>
        <w:ind w:firstLine="482" w:firstLineChars="200"/>
        <w:rPr>
          <w:rFonts w:ascii="仿宋" w:hAnsi="仿宋" w:eastAsia="仿宋" w:cs="Times New Roman"/>
          <w:b/>
          <w:bCs/>
          <w:color w:val="auto"/>
          <w:sz w:val="24"/>
          <w:szCs w:val="24"/>
          <w:highlight w:val="none"/>
        </w:rPr>
      </w:pPr>
      <w:bookmarkStart w:id="119" w:name="_Ref467379094"/>
      <w:bookmarkStart w:id="120" w:name="_Toc279701240"/>
      <w:bookmarkStart w:id="121" w:name="_Toc19614"/>
      <w:bookmarkStart w:id="122" w:name="_Ref467379205"/>
      <w:bookmarkStart w:id="123" w:name="_Toc487900349"/>
      <w:bookmarkStart w:id="124" w:name="_Ref467378404"/>
      <w:bookmarkStart w:id="125" w:name="_Ref467379225"/>
      <w:bookmarkStart w:id="126" w:name="_Ref467379195"/>
      <w:bookmarkStart w:id="127" w:name="_Ref467378499"/>
      <w:bookmarkStart w:id="128" w:name="_Toc28763"/>
      <w:bookmarkStart w:id="129" w:name="_Ref467379109"/>
      <w:bookmarkStart w:id="130" w:name="_Toc16917"/>
      <w:bookmarkStart w:id="131" w:name="_Ref467378463"/>
      <w:bookmarkStart w:id="132" w:name="_Ref467379214"/>
      <w:bookmarkStart w:id="133" w:name="_Toc259093669"/>
      <w:bookmarkStart w:id="134" w:name="_Ref467379101"/>
      <w:r>
        <w:rPr>
          <w:rFonts w:hint="eastAsia" w:ascii="仿宋" w:hAnsi="仿宋" w:eastAsia="仿宋" w:cs="Times New Roman"/>
          <w:b/>
          <w:bCs/>
          <w:color w:val="auto"/>
          <w:sz w:val="24"/>
          <w:szCs w:val="24"/>
          <w:highlight w:val="none"/>
        </w:rPr>
        <w:t xml:space="preserve">2.1 </w:t>
      </w:r>
      <w:r>
        <w:rPr>
          <w:rFonts w:ascii="仿宋" w:hAnsi="仿宋" w:eastAsia="仿宋" w:cs="Times New Roman"/>
          <w:b/>
          <w:bCs/>
          <w:color w:val="auto"/>
          <w:sz w:val="24"/>
          <w:szCs w:val="24"/>
          <w:highlight w:val="none"/>
        </w:rPr>
        <w:t>定义</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0FFC6929">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本合同中的下列</w:t>
      </w:r>
      <w:r>
        <w:rPr>
          <w:rFonts w:hint="eastAsia" w:ascii="仿宋" w:hAnsi="仿宋" w:eastAsia="仿宋" w:cs="Times New Roman"/>
          <w:color w:val="auto"/>
          <w:sz w:val="24"/>
          <w:szCs w:val="24"/>
          <w:highlight w:val="none"/>
        </w:rPr>
        <w:t>词</w:t>
      </w:r>
      <w:r>
        <w:rPr>
          <w:rFonts w:ascii="仿宋" w:hAnsi="仿宋" w:eastAsia="仿宋" w:cs="Times New Roman"/>
          <w:color w:val="auto"/>
          <w:sz w:val="24"/>
          <w:szCs w:val="24"/>
          <w:highlight w:val="none"/>
        </w:rPr>
        <w:t>语应</w:t>
      </w:r>
      <w:r>
        <w:rPr>
          <w:rFonts w:hint="eastAsia" w:ascii="仿宋" w:hAnsi="仿宋" w:eastAsia="仿宋" w:cs="Times New Roman"/>
          <w:color w:val="auto"/>
          <w:sz w:val="24"/>
          <w:szCs w:val="24"/>
          <w:highlight w:val="none"/>
        </w:rPr>
        <w:t>按以下内容进行</w:t>
      </w:r>
      <w:r>
        <w:rPr>
          <w:rFonts w:ascii="仿宋" w:hAnsi="仿宋" w:eastAsia="仿宋" w:cs="Times New Roman"/>
          <w:color w:val="auto"/>
          <w:sz w:val="24"/>
          <w:szCs w:val="24"/>
          <w:highlight w:val="none"/>
        </w:rPr>
        <w:t>解释：</w:t>
      </w:r>
    </w:p>
    <w:p w14:paraId="466CF6D3">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.1</w:t>
      </w:r>
      <w:r>
        <w:rPr>
          <w:rFonts w:ascii="仿宋" w:hAnsi="仿宋" w:eastAsia="仿宋" w:cs="Times New Roman"/>
          <w:color w:val="auto"/>
          <w:sz w:val="24"/>
          <w:szCs w:val="24"/>
          <w:highlight w:val="none"/>
        </w:rPr>
        <w:t xml:space="preserve"> “合同”系指采购人和中标供应商签订的载明双方当事人所达成的协议，并包括所有的附件、附录和构成合同的其他文件。</w:t>
      </w:r>
    </w:p>
    <w:p w14:paraId="325AFAB3">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1.2 “合同价”系指根据合同约定，中标供应商在完全履行合同义务后</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采购人应支付给中标供应商的价格。</w:t>
      </w:r>
    </w:p>
    <w:p w14:paraId="43DC793D">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1.3 “货物”系指</w:t>
      </w:r>
      <w:r>
        <w:rPr>
          <w:rFonts w:hint="eastAsia" w:ascii="仿宋" w:hAnsi="仿宋" w:eastAsia="仿宋" w:cs="Times New Roman"/>
          <w:color w:val="auto"/>
          <w:sz w:val="24"/>
          <w:szCs w:val="24"/>
          <w:highlight w:val="none"/>
        </w:rPr>
        <w:t>中标供应商</w:t>
      </w:r>
      <w:r>
        <w:rPr>
          <w:rFonts w:ascii="仿宋" w:hAnsi="仿宋" w:eastAsia="仿宋" w:cs="Times New Roman"/>
          <w:color w:val="auto"/>
          <w:sz w:val="24"/>
          <w:szCs w:val="24"/>
          <w:highlight w:val="none"/>
        </w:rPr>
        <w:t>根据合同约定应向采购人交付的一切</w:t>
      </w:r>
      <w:r>
        <w:rPr>
          <w:rFonts w:hint="eastAsia" w:ascii="仿宋" w:hAnsi="仿宋" w:eastAsia="仿宋" w:cs="Times New Roman"/>
          <w:color w:val="auto"/>
          <w:sz w:val="24"/>
          <w:szCs w:val="24"/>
          <w:highlight w:val="none"/>
        </w:rPr>
        <w:t>各种形态和种类的物品，包括原材料、燃料、设备、</w:t>
      </w:r>
      <w:r>
        <w:rPr>
          <w:rFonts w:ascii="仿宋" w:hAnsi="仿宋" w:eastAsia="仿宋" w:cs="Times New Roman"/>
          <w:color w:val="auto"/>
          <w:sz w:val="24"/>
          <w:szCs w:val="24"/>
          <w:highlight w:val="none"/>
        </w:rPr>
        <w:t>机械、仪表、备件</w:t>
      </w:r>
      <w:r>
        <w:rPr>
          <w:rFonts w:hint="eastAsia" w:ascii="仿宋" w:hAnsi="仿宋" w:eastAsia="仿宋" w:cs="Times New Roman"/>
          <w:color w:val="auto"/>
          <w:sz w:val="24"/>
          <w:szCs w:val="24"/>
          <w:highlight w:val="none"/>
        </w:rPr>
        <w:t>、计算机软件、产品等</w:t>
      </w:r>
      <w:r>
        <w:rPr>
          <w:rFonts w:ascii="仿宋" w:hAnsi="仿宋" w:eastAsia="仿宋" w:cs="Times New Roman"/>
          <w:color w:val="auto"/>
          <w:sz w:val="24"/>
          <w:szCs w:val="24"/>
          <w:highlight w:val="none"/>
        </w:rPr>
        <w:t>，并包括工具、手册等其他相关资料。</w:t>
      </w:r>
    </w:p>
    <w:p w14:paraId="02690DEF">
      <w:pPr>
        <w:spacing w:line="560" w:lineRule="exact"/>
        <w:ind w:firstLine="480" w:firstLineChars="200"/>
        <w:rPr>
          <w:rFonts w:ascii="仿宋" w:hAnsi="仿宋" w:eastAsia="仿宋" w:cs="Times New Roman"/>
          <w:color w:val="auto"/>
          <w:sz w:val="24"/>
          <w:szCs w:val="24"/>
          <w:highlight w:val="none"/>
        </w:rPr>
      </w:pPr>
      <w:bookmarkStart w:id="135" w:name="_Ref467378840"/>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4</w:t>
      </w:r>
      <w:r>
        <w:rPr>
          <w:rFonts w:ascii="仿宋" w:hAnsi="仿宋" w:eastAsia="仿宋" w:cs="Times New Roman"/>
          <w:color w:val="auto"/>
          <w:sz w:val="24"/>
          <w:szCs w:val="24"/>
          <w:highlight w:val="none"/>
        </w:rPr>
        <w:t xml:space="preserve"> “</w:t>
      </w:r>
      <w:r>
        <w:rPr>
          <w:rFonts w:hint="eastAsia" w:ascii="仿宋" w:hAnsi="仿宋" w:eastAsia="仿宋" w:cs="Times New Roman"/>
          <w:color w:val="auto"/>
          <w:sz w:val="24"/>
          <w:szCs w:val="24"/>
          <w:highlight w:val="none"/>
        </w:rPr>
        <w:t>甲方</w:t>
      </w:r>
      <w:r>
        <w:rPr>
          <w:rFonts w:ascii="仿宋" w:hAnsi="仿宋" w:eastAsia="仿宋" w:cs="Times New Roman"/>
          <w:color w:val="auto"/>
          <w:sz w:val="24"/>
          <w:szCs w:val="24"/>
          <w:highlight w:val="none"/>
        </w:rPr>
        <w:t>”系指与</w:t>
      </w:r>
      <w:r>
        <w:rPr>
          <w:rFonts w:hint="eastAsia" w:ascii="仿宋" w:hAnsi="仿宋" w:eastAsia="仿宋" w:cs="Times New Roman"/>
          <w:color w:val="auto"/>
          <w:sz w:val="24"/>
          <w:szCs w:val="24"/>
          <w:highlight w:val="none"/>
        </w:rPr>
        <w:t>中标供应商</w:t>
      </w:r>
      <w:r>
        <w:rPr>
          <w:rFonts w:ascii="仿宋" w:hAnsi="仿宋" w:eastAsia="仿宋" w:cs="Times New Roman"/>
          <w:color w:val="auto"/>
          <w:sz w:val="24"/>
          <w:szCs w:val="24"/>
          <w:highlight w:val="none"/>
        </w:rPr>
        <w:t>签署合同的采购人</w:t>
      </w:r>
      <w:bookmarkEnd w:id="135"/>
      <w:r>
        <w:rPr>
          <w:rFonts w:hint="eastAsia" w:ascii="仿宋" w:hAnsi="仿宋" w:eastAsia="仿宋" w:cs="Times New Roman"/>
          <w:color w:val="auto"/>
          <w:sz w:val="24"/>
          <w:szCs w:val="24"/>
          <w:highlight w:val="none"/>
        </w:rPr>
        <w:t>；采购人委托</w:t>
      </w:r>
      <w:r>
        <w:rPr>
          <w:rFonts w:hint="eastAsia" w:ascii="仿宋" w:hAnsi="仿宋" w:eastAsia="仿宋" w:cs="Times New Roman"/>
          <w:color w:val="auto"/>
          <w:sz w:val="24"/>
          <w:szCs w:val="24"/>
          <w:highlight w:val="none"/>
          <w:lang w:eastAsia="zh-CN"/>
        </w:rPr>
        <w:t>采购人</w:t>
      </w:r>
      <w:r>
        <w:rPr>
          <w:rFonts w:hint="eastAsia" w:ascii="仿宋" w:hAnsi="仿宋" w:eastAsia="仿宋" w:cs="Times New Roman"/>
          <w:color w:val="auto"/>
          <w:sz w:val="24"/>
          <w:szCs w:val="24"/>
          <w:highlight w:val="none"/>
        </w:rPr>
        <w:t>代表其与乙方签订合同的，采购人的授权委托书作为合同附件。</w:t>
      </w:r>
    </w:p>
    <w:p w14:paraId="3BD2A935">
      <w:pPr>
        <w:spacing w:line="560" w:lineRule="exact"/>
        <w:ind w:firstLine="480" w:firstLineChars="200"/>
        <w:rPr>
          <w:rFonts w:ascii="仿宋" w:hAnsi="仿宋" w:eastAsia="仿宋" w:cs="Times New Roman"/>
          <w:color w:val="auto"/>
          <w:sz w:val="24"/>
          <w:szCs w:val="24"/>
          <w:highlight w:val="none"/>
        </w:rPr>
      </w:pPr>
      <w:bookmarkStart w:id="136" w:name="_Ref467379400"/>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5</w:t>
      </w:r>
      <w:r>
        <w:rPr>
          <w:rFonts w:ascii="仿宋" w:hAnsi="仿宋" w:eastAsia="仿宋" w:cs="Times New Roman"/>
          <w:color w:val="auto"/>
          <w:sz w:val="24"/>
          <w:szCs w:val="24"/>
          <w:highlight w:val="none"/>
        </w:rPr>
        <w:t xml:space="preserve"> “乙方”系指根据合同约定交付货物的中标供应商</w:t>
      </w:r>
      <w:bookmarkEnd w:id="136"/>
      <w:r>
        <w:rPr>
          <w:rFonts w:hint="eastAsia" w:ascii="仿宋" w:hAnsi="仿宋" w:eastAsia="仿宋" w:cs="Times New Roman"/>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65DAC3B">
      <w:pPr>
        <w:spacing w:line="560" w:lineRule="exact"/>
        <w:ind w:firstLine="480" w:firstLineChars="200"/>
        <w:rPr>
          <w:rFonts w:ascii="仿宋" w:hAnsi="仿宋" w:eastAsia="仿宋" w:cs="Times New Roman"/>
          <w:color w:val="auto"/>
          <w:sz w:val="24"/>
          <w:szCs w:val="24"/>
          <w:highlight w:val="none"/>
        </w:rPr>
      </w:pPr>
      <w:bookmarkStart w:id="137" w:name="_Ref467379436"/>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6</w:t>
      </w:r>
      <w:r>
        <w:rPr>
          <w:rFonts w:ascii="仿宋" w:hAnsi="仿宋" w:eastAsia="仿宋" w:cs="Times New Roman"/>
          <w:color w:val="auto"/>
          <w:sz w:val="24"/>
          <w:szCs w:val="24"/>
          <w:highlight w:val="none"/>
        </w:rPr>
        <w:t xml:space="preserve"> “现场”系指合同约定货物将要运至</w:t>
      </w:r>
      <w:r>
        <w:rPr>
          <w:rFonts w:hint="eastAsia" w:ascii="仿宋" w:hAnsi="仿宋" w:eastAsia="仿宋" w:cs="Times New Roman"/>
          <w:color w:val="auto"/>
          <w:sz w:val="24"/>
          <w:szCs w:val="24"/>
          <w:highlight w:val="none"/>
        </w:rPr>
        <w:t>或者</w:t>
      </w:r>
      <w:r>
        <w:rPr>
          <w:rFonts w:ascii="仿宋" w:hAnsi="仿宋" w:eastAsia="仿宋" w:cs="Times New Roman"/>
          <w:color w:val="auto"/>
          <w:sz w:val="24"/>
          <w:szCs w:val="24"/>
          <w:highlight w:val="none"/>
        </w:rPr>
        <w:t>安装的地点。</w:t>
      </w:r>
      <w:bookmarkEnd w:id="137"/>
    </w:p>
    <w:p w14:paraId="3D10E052">
      <w:pPr>
        <w:spacing w:line="360" w:lineRule="auto"/>
        <w:ind w:firstLine="482" w:firstLineChars="200"/>
        <w:rPr>
          <w:rFonts w:ascii="仿宋" w:hAnsi="仿宋" w:eastAsia="仿宋" w:cs="Times New Roman"/>
          <w:b/>
          <w:bCs/>
          <w:color w:val="auto"/>
          <w:sz w:val="24"/>
          <w:szCs w:val="24"/>
          <w:highlight w:val="none"/>
        </w:rPr>
      </w:pPr>
      <w:bookmarkStart w:id="138" w:name="_Toc279701241"/>
      <w:bookmarkStart w:id="139" w:name="_Toc487900350"/>
      <w:bookmarkStart w:id="140" w:name="_Toc27635"/>
      <w:bookmarkStart w:id="141" w:name="_Toc32504"/>
      <w:bookmarkStart w:id="142" w:name="_Toc259093670"/>
      <w:bookmarkStart w:id="143" w:name="_Toc13336"/>
      <w:r>
        <w:rPr>
          <w:rFonts w:hint="eastAsia" w:ascii="仿宋" w:hAnsi="仿宋" w:eastAsia="仿宋" w:cs="Times New Roman"/>
          <w:b/>
          <w:bCs/>
          <w:color w:val="auto"/>
          <w:sz w:val="24"/>
          <w:szCs w:val="24"/>
          <w:highlight w:val="none"/>
        </w:rPr>
        <w:t>2.</w:t>
      </w:r>
      <w:r>
        <w:rPr>
          <w:rFonts w:ascii="仿宋" w:hAnsi="仿宋" w:eastAsia="仿宋" w:cs="Times New Roman"/>
          <w:b/>
          <w:bCs/>
          <w:color w:val="auto"/>
          <w:sz w:val="24"/>
          <w:szCs w:val="24"/>
          <w:highlight w:val="none"/>
        </w:rPr>
        <w:t>2</w:t>
      </w:r>
      <w:r>
        <w:rPr>
          <w:rFonts w:hint="eastAsia" w:ascii="仿宋" w:hAnsi="仿宋" w:eastAsia="仿宋" w:cs="Times New Roman"/>
          <w:b/>
          <w:bCs/>
          <w:color w:val="auto"/>
          <w:sz w:val="24"/>
          <w:szCs w:val="24"/>
          <w:highlight w:val="none"/>
        </w:rPr>
        <w:t xml:space="preserve"> </w:t>
      </w:r>
      <w:r>
        <w:rPr>
          <w:rFonts w:ascii="仿宋" w:hAnsi="仿宋" w:eastAsia="仿宋" w:cs="Times New Roman"/>
          <w:b/>
          <w:bCs/>
          <w:color w:val="auto"/>
          <w:sz w:val="24"/>
          <w:szCs w:val="24"/>
          <w:highlight w:val="none"/>
        </w:rPr>
        <w:t>技术规范</w:t>
      </w:r>
      <w:bookmarkEnd w:id="138"/>
      <w:bookmarkEnd w:id="139"/>
      <w:bookmarkEnd w:id="140"/>
      <w:bookmarkEnd w:id="141"/>
      <w:bookmarkEnd w:id="142"/>
      <w:bookmarkEnd w:id="143"/>
    </w:p>
    <w:p w14:paraId="51B91B99">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货物所应遵守的技术规范应与采购文件规定的技术规范和技术规范附件(如果有的话)及其技术规范偏差表(如果被甲方接受的话)相一致</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如果采购文件中没有技术规范的相应说明，那么应以国家有关部门最新颁布的相应标准</w:t>
      </w:r>
      <w:r>
        <w:rPr>
          <w:rFonts w:hint="eastAsia" w:ascii="仿宋" w:hAnsi="仿宋" w:eastAsia="仿宋" w:cs="Times New Roman"/>
          <w:color w:val="auto"/>
          <w:sz w:val="24"/>
          <w:szCs w:val="24"/>
          <w:highlight w:val="none"/>
        </w:rPr>
        <w:t>和</w:t>
      </w:r>
      <w:r>
        <w:rPr>
          <w:rFonts w:ascii="仿宋" w:hAnsi="仿宋" w:eastAsia="仿宋" w:cs="Times New Roman"/>
          <w:color w:val="auto"/>
          <w:sz w:val="24"/>
          <w:szCs w:val="24"/>
          <w:highlight w:val="none"/>
        </w:rPr>
        <w:t>规范为准。</w:t>
      </w:r>
    </w:p>
    <w:p w14:paraId="4FF76704">
      <w:pPr>
        <w:spacing w:line="360" w:lineRule="auto"/>
        <w:ind w:firstLine="482" w:firstLineChars="200"/>
        <w:rPr>
          <w:rFonts w:ascii="仿宋" w:hAnsi="仿宋" w:eastAsia="仿宋" w:cs="Times New Roman"/>
          <w:b/>
          <w:bCs/>
          <w:color w:val="auto"/>
          <w:sz w:val="24"/>
          <w:szCs w:val="24"/>
          <w:highlight w:val="none"/>
        </w:rPr>
      </w:pPr>
      <w:bookmarkStart w:id="144" w:name="_Toc279701242"/>
      <w:bookmarkStart w:id="145" w:name="_Toc9829"/>
      <w:bookmarkStart w:id="146" w:name="_Toc259093671"/>
      <w:bookmarkStart w:id="147" w:name="_Toc31634"/>
      <w:bookmarkStart w:id="148" w:name="_Toc27853"/>
      <w:bookmarkStart w:id="149" w:name="_Toc487900351"/>
      <w:r>
        <w:rPr>
          <w:rFonts w:hint="eastAsia" w:ascii="仿宋" w:hAnsi="仿宋" w:eastAsia="仿宋" w:cs="Times New Roman"/>
          <w:b/>
          <w:bCs/>
          <w:color w:val="auto"/>
          <w:sz w:val="24"/>
          <w:szCs w:val="24"/>
          <w:highlight w:val="none"/>
        </w:rPr>
        <w:t>2.</w:t>
      </w:r>
      <w:r>
        <w:rPr>
          <w:rFonts w:ascii="仿宋" w:hAnsi="仿宋" w:eastAsia="仿宋" w:cs="Times New Roman"/>
          <w:b/>
          <w:bCs/>
          <w:color w:val="auto"/>
          <w:sz w:val="24"/>
          <w:szCs w:val="24"/>
          <w:highlight w:val="none"/>
        </w:rPr>
        <w:t>3</w:t>
      </w:r>
      <w:r>
        <w:rPr>
          <w:rFonts w:hint="eastAsia" w:ascii="仿宋" w:hAnsi="仿宋" w:eastAsia="仿宋" w:cs="Times New Roman"/>
          <w:b/>
          <w:bCs/>
          <w:color w:val="auto"/>
          <w:sz w:val="24"/>
          <w:szCs w:val="24"/>
          <w:highlight w:val="none"/>
        </w:rPr>
        <w:t xml:space="preserve"> </w:t>
      </w:r>
      <w:r>
        <w:rPr>
          <w:rFonts w:ascii="仿宋" w:hAnsi="仿宋" w:eastAsia="仿宋" w:cs="Times New Roman"/>
          <w:b/>
          <w:bCs/>
          <w:color w:val="auto"/>
          <w:sz w:val="24"/>
          <w:szCs w:val="24"/>
          <w:highlight w:val="none"/>
        </w:rPr>
        <w:t>知识产权</w:t>
      </w:r>
      <w:bookmarkEnd w:id="144"/>
      <w:bookmarkEnd w:id="145"/>
      <w:bookmarkEnd w:id="146"/>
      <w:bookmarkEnd w:id="147"/>
      <w:bookmarkEnd w:id="148"/>
      <w:bookmarkEnd w:id="149"/>
    </w:p>
    <w:p w14:paraId="04016A1B">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2.3.1 乙</w:t>
      </w:r>
      <w:r>
        <w:rPr>
          <w:rFonts w:ascii="仿宋" w:hAnsi="仿宋" w:eastAsia="仿宋" w:cs="Times New Roman"/>
          <w:color w:val="auto"/>
          <w:sz w:val="24"/>
          <w:szCs w:val="24"/>
          <w:highlight w:val="none"/>
        </w:rPr>
        <w:t>方应保证甲方在使用该货物或其任何一部分时不受任何第三方提出的侵犯其著作权、商标权、专利权等知识产权方面的起诉</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如果任何第三方提出侵权</w:t>
      </w:r>
      <w:r>
        <w:rPr>
          <w:rFonts w:hint="eastAsia" w:ascii="仿宋" w:hAnsi="仿宋" w:eastAsia="仿宋" w:cs="Times New Roman"/>
          <w:color w:val="auto"/>
          <w:sz w:val="24"/>
          <w:szCs w:val="24"/>
          <w:highlight w:val="none"/>
        </w:rPr>
        <w:t>指控</w:t>
      </w:r>
      <w:r>
        <w:rPr>
          <w:rFonts w:ascii="仿宋" w:hAnsi="仿宋" w:eastAsia="仿宋" w:cs="Times New Roman"/>
          <w:color w:val="auto"/>
          <w:sz w:val="24"/>
          <w:szCs w:val="24"/>
          <w:highlight w:val="none"/>
        </w:rPr>
        <w:t>，那么乙方须与该第三方交涉并承担由此发生的一切责任、费用和赔偿</w:t>
      </w:r>
      <w:r>
        <w:rPr>
          <w:rFonts w:hint="eastAsia" w:ascii="仿宋" w:hAnsi="仿宋" w:eastAsia="仿宋" w:cs="Times New Roman"/>
          <w:color w:val="auto"/>
          <w:sz w:val="24"/>
          <w:szCs w:val="24"/>
          <w:highlight w:val="none"/>
        </w:rPr>
        <w:t>；</w:t>
      </w:r>
    </w:p>
    <w:p w14:paraId="300862AB">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2.3.2具有知识产权的计算机软件等货物的知识产权归属，</w:t>
      </w:r>
      <w:r>
        <w:rPr>
          <w:rFonts w:ascii="仿宋" w:hAnsi="仿宋" w:eastAsia="仿宋" w:cs="Times New Roman"/>
          <w:color w:val="auto"/>
          <w:sz w:val="24"/>
          <w:szCs w:val="24"/>
          <w:highlight w:val="none"/>
        </w:rPr>
        <w:t>详见</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w:t>
      </w:r>
    </w:p>
    <w:p w14:paraId="3522A2FD">
      <w:pPr>
        <w:spacing w:line="360" w:lineRule="auto"/>
        <w:ind w:firstLine="482" w:firstLineChars="200"/>
        <w:rPr>
          <w:rFonts w:ascii="仿宋" w:hAnsi="仿宋" w:eastAsia="仿宋" w:cs="Times New Roman"/>
          <w:b/>
          <w:bCs/>
          <w:color w:val="auto"/>
          <w:sz w:val="24"/>
          <w:szCs w:val="24"/>
          <w:highlight w:val="none"/>
        </w:rPr>
      </w:pPr>
      <w:bookmarkStart w:id="150" w:name="_Toc29149"/>
      <w:bookmarkStart w:id="151" w:name="_Toc4194"/>
      <w:bookmarkStart w:id="152" w:name="_Toc11932"/>
      <w:r>
        <w:rPr>
          <w:rFonts w:hint="eastAsia" w:ascii="仿宋" w:hAnsi="仿宋" w:eastAsia="仿宋" w:cs="Times New Roman"/>
          <w:b/>
          <w:bCs/>
          <w:color w:val="auto"/>
          <w:sz w:val="24"/>
          <w:szCs w:val="24"/>
          <w:highlight w:val="none"/>
        </w:rPr>
        <w:t>2.4 包装和装运</w:t>
      </w:r>
      <w:bookmarkEnd w:id="150"/>
      <w:bookmarkEnd w:id="151"/>
      <w:bookmarkEnd w:id="152"/>
    </w:p>
    <w:p w14:paraId="265A4F29">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2.4.1除</w:t>
      </w:r>
      <w:r>
        <w:rPr>
          <w:rFonts w:ascii="仿宋" w:hAnsi="仿宋" w:eastAsia="仿宋" w:cs="Times New Roman"/>
          <w:b/>
          <w:i/>
          <w:color w:val="auto"/>
          <w:sz w:val="24"/>
          <w:szCs w:val="24"/>
          <w:highlight w:val="none"/>
          <w:u w:val="single"/>
        </w:rPr>
        <w:t>合同专用条款</w:t>
      </w:r>
      <w:r>
        <w:rPr>
          <w:rFonts w:hint="eastAsia" w:ascii="仿宋" w:hAnsi="仿宋" w:eastAsia="仿宋" w:cs="Times New Roman"/>
          <w:color w:val="auto"/>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676BD85">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2.4.2 装运货物的要求和通知，详见</w:t>
      </w:r>
      <w:r>
        <w:rPr>
          <w:rFonts w:ascii="仿宋" w:hAnsi="仿宋" w:eastAsia="仿宋" w:cs="Times New Roman"/>
          <w:b/>
          <w:i/>
          <w:color w:val="auto"/>
          <w:sz w:val="24"/>
          <w:szCs w:val="24"/>
          <w:highlight w:val="none"/>
          <w:u w:val="single"/>
        </w:rPr>
        <w:t>合同专用条款</w:t>
      </w:r>
      <w:r>
        <w:rPr>
          <w:rFonts w:hint="eastAsia" w:ascii="仿宋" w:hAnsi="仿宋" w:eastAsia="仿宋" w:cs="Times New Roman"/>
          <w:color w:val="auto"/>
          <w:sz w:val="24"/>
          <w:szCs w:val="24"/>
          <w:highlight w:val="none"/>
        </w:rPr>
        <w:t>。</w:t>
      </w:r>
    </w:p>
    <w:p w14:paraId="5678BA3B">
      <w:pPr>
        <w:spacing w:line="360" w:lineRule="auto"/>
        <w:ind w:firstLine="482" w:firstLineChars="200"/>
        <w:rPr>
          <w:rFonts w:ascii="仿宋" w:hAnsi="仿宋" w:eastAsia="仿宋" w:cs="Times New Roman"/>
          <w:b/>
          <w:bCs/>
          <w:color w:val="auto"/>
          <w:sz w:val="24"/>
          <w:szCs w:val="24"/>
          <w:highlight w:val="none"/>
        </w:rPr>
      </w:pPr>
      <w:bookmarkStart w:id="153" w:name="_Toc487900354"/>
      <w:bookmarkStart w:id="154" w:name="_Ref467379527"/>
      <w:bookmarkStart w:id="155" w:name="_Toc279701245"/>
      <w:bookmarkStart w:id="156" w:name="_Toc259093674"/>
      <w:bookmarkStart w:id="157" w:name="_Ref467378591"/>
      <w:bookmarkStart w:id="158" w:name="_Ref467378541"/>
      <w:bookmarkStart w:id="159" w:name="_Ref467379542"/>
      <w:bookmarkStart w:id="160" w:name="_Ref467379536"/>
      <w:bookmarkStart w:id="161" w:name="_Toc30272"/>
      <w:bookmarkStart w:id="162" w:name="_Toc26182"/>
      <w:bookmarkStart w:id="163" w:name="_Toc19074"/>
      <w:r>
        <w:rPr>
          <w:rFonts w:hint="eastAsia" w:ascii="仿宋" w:hAnsi="仿宋" w:eastAsia="仿宋" w:cs="Times New Roman"/>
          <w:b/>
          <w:bCs/>
          <w:color w:val="auto"/>
          <w:sz w:val="24"/>
          <w:szCs w:val="24"/>
          <w:highlight w:val="none"/>
        </w:rPr>
        <w:t>2.</w:t>
      </w:r>
      <w:bookmarkEnd w:id="153"/>
      <w:bookmarkEnd w:id="154"/>
      <w:bookmarkEnd w:id="155"/>
      <w:bookmarkEnd w:id="156"/>
      <w:bookmarkEnd w:id="157"/>
      <w:bookmarkEnd w:id="158"/>
      <w:bookmarkEnd w:id="159"/>
      <w:bookmarkEnd w:id="160"/>
      <w:r>
        <w:rPr>
          <w:rFonts w:hint="eastAsia" w:ascii="仿宋" w:hAnsi="仿宋" w:eastAsia="仿宋" w:cs="Times New Roman"/>
          <w:b/>
          <w:bCs/>
          <w:color w:val="auto"/>
          <w:sz w:val="24"/>
          <w:szCs w:val="24"/>
          <w:highlight w:val="none"/>
        </w:rPr>
        <w:t>5 履约检查和问题反馈</w:t>
      </w:r>
      <w:bookmarkEnd w:id="161"/>
      <w:bookmarkEnd w:id="162"/>
      <w:bookmarkEnd w:id="163"/>
    </w:p>
    <w:p w14:paraId="65B1E33F">
      <w:pPr>
        <w:spacing w:line="560" w:lineRule="exact"/>
        <w:ind w:firstLine="480" w:firstLineChars="200"/>
        <w:rPr>
          <w:rFonts w:ascii="仿宋" w:hAnsi="仿宋" w:eastAsia="仿宋" w:cs="Times New Roman"/>
          <w:color w:val="auto"/>
          <w:sz w:val="24"/>
          <w:szCs w:val="24"/>
          <w:highlight w:val="none"/>
        </w:rPr>
      </w:pPr>
      <w:bookmarkStart w:id="164" w:name="_Ref467379657"/>
      <w:r>
        <w:rPr>
          <w:rFonts w:hint="eastAsia" w:ascii="仿宋" w:hAnsi="仿宋" w:eastAsia="仿宋" w:cs="Times New Roman"/>
          <w:color w:val="auto"/>
          <w:sz w:val="24"/>
          <w:szCs w:val="24"/>
          <w:highlight w:val="none"/>
        </w:rPr>
        <w:t>2.5</w:t>
      </w:r>
      <w:r>
        <w:rPr>
          <w:rFonts w:ascii="仿宋" w:hAnsi="仿宋" w:eastAsia="仿宋" w:cs="Times New Roman"/>
          <w:color w:val="auto"/>
          <w:sz w:val="24"/>
          <w:szCs w:val="24"/>
          <w:highlight w:val="none"/>
        </w:rPr>
        <w:t>.1</w:t>
      </w:r>
      <w:bookmarkEnd w:id="164"/>
      <w:bookmarkStart w:id="165" w:name="_Toc186431854"/>
      <w:bookmarkStart w:id="166" w:name="_Toc487900357"/>
      <w:bookmarkStart w:id="167" w:name="_Ref467379793"/>
      <w:bookmarkStart w:id="168" w:name="_Toc259093676"/>
      <w:bookmarkStart w:id="169" w:name="_Ref467379807"/>
      <w:bookmarkStart w:id="170" w:name="_Toc279701247"/>
      <w:r>
        <w:rPr>
          <w:rFonts w:ascii="仿宋" w:hAnsi="仿宋" w:eastAsia="仿宋" w:cs="Times New Roman"/>
          <w:color w:val="auto"/>
          <w:sz w:val="24"/>
          <w:szCs w:val="24"/>
          <w:highlight w:val="none"/>
        </w:rPr>
        <w:t>甲方</w:t>
      </w:r>
      <w:r>
        <w:rPr>
          <w:rFonts w:hint="eastAsia" w:ascii="仿宋" w:hAnsi="仿宋" w:eastAsia="仿宋" w:cs="Times New Roman"/>
          <w:color w:val="auto"/>
          <w:sz w:val="24"/>
          <w:szCs w:val="24"/>
          <w:highlight w:val="none"/>
        </w:rPr>
        <w:t>有权</w:t>
      </w:r>
      <w:r>
        <w:rPr>
          <w:rFonts w:ascii="仿宋" w:hAnsi="仿宋" w:eastAsia="仿宋" w:cs="Times New Roman"/>
          <w:color w:val="auto"/>
          <w:sz w:val="24"/>
          <w:szCs w:val="24"/>
          <w:highlight w:val="none"/>
        </w:rPr>
        <w:t>在其认为必要时</w:t>
      </w:r>
      <w:r>
        <w:rPr>
          <w:rFonts w:hint="eastAsia" w:ascii="仿宋" w:hAnsi="仿宋" w:eastAsia="仿宋" w:cs="Times New Roman"/>
          <w:color w:val="auto"/>
          <w:sz w:val="24"/>
          <w:szCs w:val="24"/>
          <w:highlight w:val="none"/>
        </w:rPr>
        <w:t>，对乙方是否能够按照合同约定交付货物进行履约检查，以确保乙方所交付的货物能够依约满足甲方之项目需求，但不得因履约检查妨碍乙方的正常工作，乙方应予积极配合；</w:t>
      </w:r>
    </w:p>
    <w:p w14:paraId="79440CC5">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2.5.2 合同履行期间，甲方有权将履行过程中出现的问题反馈给乙方，双方当事人应以书面形式约定需要完善和改进的内容</w:t>
      </w:r>
      <w:bookmarkEnd w:id="165"/>
      <w:bookmarkStart w:id="171" w:name="_Toc186431855"/>
      <w:r>
        <w:rPr>
          <w:rFonts w:hint="eastAsia" w:ascii="仿宋" w:hAnsi="仿宋" w:eastAsia="仿宋" w:cs="Times New Roman"/>
          <w:color w:val="auto"/>
          <w:sz w:val="24"/>
          <w:szCs w:val="24"/>
          <w:highlight w:val="none"/>
        </w:rPr>
        <w:t>。</w:t>
      </w:r>
    </w:p>
    <w:bookmarkEnd w:id="171"/>
    <w:p w14:paraId="2F6E207B">
      <w:pPr>
        <w:spacing w:line="360" w:lineRule="auto"/>
        <w:ind w:firstLine="482" w:firstLineChars="200"/>
        <w:rPr>
          <w:rFonts w:ascii="仿宋" w:hAnsi="仿宋" w:eastAsia="仿宋" w:cs="Times New Roman"/>
          <w:b/>
          <w:bCs/>
          <w:color w:val="auto"/>
          <w:sz w:val="24"/>
          <w:szCs w:val="24"/>
          <w:highlight w:val="none"/>
        </w:rPr>
      </w:pPr>
      <w:bookmarkStart w:id="172" w:name="_Toc19219"/>
      <w:bookmarkStart w:id="173" w:name="_Toc7836"/>
      <w:bookmarkStart w:id="174" w:name="_Toc28451"/>
      <w:r>
        <w:rPr>
          <w:rFonts w:hint="eastAsia" w:ascii="仿宋" w:hAnsi="仿宋" w:eastAsia="仿宋" w:cs="Times New Roman"/>
          <w:b/>
          <w:bCs/>
          <w:color w:val="auto"/>
          <w:sz w:val="24"/>
          <w:szCs w:val="24"/>
          <w:highlight w:val="none"/>
        </w:rPr>
        <w:t xml:space="preserve">2.6 </w:t>
      </w:r>
      <w:r>
        <w:rPr>
          <w:rFonts w:ascii="仿宋" w:hAnsi="仿宋" w:eastAsia="仿宋" w:cs="Times New Roman"/>
          <w:b/>
          <w:bCs/>
          <w:color w:val="auto"/>
          <w:sz w:val="24"/>
          <w:szCs w:val="24"/>
          <w:highlight w:val="none"/>
        </w:rPr>
        <w:t>结算方式和付款条件</w:t>
      </w:r>
      <w:bookmarkEnd w:id="166"/>
      <w:bookmarkEnd w:id="167"/>
      <w:bookmarkEnd w:id="168"/>
      <w:bookmarkEnd w:id="169"/>
      <w:bookmarkEnd w:id="170"/>
      <w:bookmarkEnd w:id="172"/>
      <w:bookmarkEnd w:id="173"/>
      <w:bookmarkEnd w:id="174"/>
    </w:p>
    <w:p w14:paraId="55A7688F">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详见</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w:t>
      </w:r>
    </w:p>
    <w:p w14:paraId="7198E437">
      <w:pPr>
        <w:spacing w:line="360" w:lineRule="auto"/>
        <w:ind w:firstLine="482" w:firstLineChars="200"/>
        <w:rPr>
          <w:rFonts w:ascii="仿宋" w:hAnsi="仿宋" w:eastAsia="仿宋" w:cs="Times New Roman"/>
          <w:b/>
          <w:bCs/>
          <w:color w:val="auto"/>
          <w:sz w:val="24"/>
          <w:szCs w:val="24"/>
          <w:highlight w:val="none"/>
        </w:rPr>
      </w:pPr>
      <w:bookmarkStart w:id="175" w:name="_Ref467379852"/>
      <w:bookmarkStart w:id="176" w:name="_Toc279701248"/>
      <w:bookmarkStart w:id="177" w:name="_Toc259093677"/>
      <w:bookmarkStart w:id="178" w:name="_Ref467379923"/>
      <w:bookmarkStart w:id="179" w:name="_Ref467379863"/>
      <w:bookmarkStart w:id="180" w:name="_Toc487900358"/>
      <w:bookmarkStart w:id="181" w:name="_Toc16110"/>
      <w:bookmarkStart w:id="182" w:name="_Toc3225"/>
      <w:bookmarkStart w:id="183" w:name="_Toc774"/>
      <w:r>
        <w:rPr>
          <w:rFonts w:hint="eastAsia" w:ascii="仿宋" w:hAnsi="仿宋" w:eastAsia="仿宋" w:cs="Times New Roman"/>
          <w:b/>
          <w:bCs/>
          <w:color w:val="auto"/>
          <w:sz w:val="24"/>
          <w:szCs w:val="24"/>
          <w:highlight w:val="none"/>
        </w:rPr>
        <w:t xml:space="preserve">2.7 </w:t>
      </w:r>
      <w:r>
        <w:rPr>
          <w:rFonts w:ascii="仿宋" w:hAnsi="仿宋" w:eastAsia="仿宋" w:cs="Times New Roman"/>
          <w:b/>
          <w:bCs/>
          <w:color w:val="auto"/>
          <w:sz w:val="24"/>
          <w:szCs w:val="24"/>
          <w:highlight w:val="none"/>
        </w:rPr>
        <w:t>技术资料</w:t>
      </w:r>
      <w:bookmarkEnd w:id="175"/>
      <w:bookmarkEnd w:id="176"/>
      <w:bookmarkEnd w:id="177"/>
      <w:bookmarkEnd w:id="178"/>
      <w:bookmarkEnd w:id="179"/>
      <w:bookmarkEnd w:id="180"/>
      <w:r>
        <w:rPr>
          <w:rFonts w:ascii="仿宋" w:hAnsi="仿宋" w:eastAsia="仿宋" w:cs="Times New Roman"/>
          <w:b/>
          <w:bCs/>
          <w:color w:val="auto"/>
          <w:sz w:val="24"/>
          <w:szCs w:val="24"/>
          <w:highlight w:val="none"/>
        </w:rPr>
        <w:t>和保密义务</w:t>
      </w:r>
      <w:bookmarkEnd w:id="181"/>
      <w:bookmarkEnd w:id="182"/>
      <w:bookmarkEnd w:id="183"/>
    </w:p>
    <w:p w14:paraId="0AE67298">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2.7</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 xml:space="preserve"> 乙方有权依据合同约定和项目需要，向甲方了解有关情况，调阅有关资料等，甲方应予积极配合；</w:t>
      </w:r>
    </w:p>
    <w:p w14:paraId="6BD7D368">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2.7.2 乙方有义务妥善保管和保护由甲方提供的前款信息和资料等；</w:t>
      </w:r>
    </w:p>
    <w:p w14:paraId="06C49997">
      <w:pP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2.7</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s="Times New Roman"/>
          <w:color w:val="auto"/>
          <w:sz w:val="24"/>
          <w:szCs w:val="24"/>
          <w:highlight w:val="none"/>
        </w:rPr>
        <w:t>技术情报</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技术资料</w:t>
      </w:r>
      <w:r>
        <w:rPr>
          <w:rFonts w:hint="eastAsia" w:ascii="仿宋" w:hAnsi="仿宋" w:eastAsia="仿宋" w:cs="Times New Roman"/>
          <w:color w:val="auto"/>
          <w:sz w:val="24"/>
          <w:szCs w:val="24"/>
          <w:highlight w:val="none"/>
        </w:rPr>
        <w:t>、商业秘密和商业信息等，并采取一切合理和必要措施和方式防止任何第三方接触到对方当事人的上述保密信息和资料。</w:t>
      </w:r>
      <w:bookmarkStart w:id="184" w:name="_Toc7860"/>
    </w:p>
    <w:p w14:paraId="5B23B3F5">
      <w:pPr>
        <w:spacing w:line="360" w:lineRule="auto"/>
        <w:ind w:firstLine="482" w:firstLineChars="200"/>
        <w:rPr>
          <w:rFonts w:ascii="仿宋" w:hAnsi="仿宋" w:eastAsia="仿宋" w:cs="Times New Roman"/>
          <w:b/>
          <w:bCs/>
          <w:color w:val="auto"/>
          <w:sz w:val="24"/>
          <w:szCs w:val="24"/>
          <w:highlight w:val="none"/>
        </w:rPr>
      </w:pPr>
    </w:p>
    <w:p w14:paraId="5963022F">
      <w:pPr>
        <w:spacing w:line="360" w:lineRule="auto"/>
        <w:ind w:firstLine="482" w:firstLineChars="200"/>
        <w:rPr>
          <w:rFonts w:ascii="仿宋" w:hAnsi="仿宋" w:eastAsia="仿宋" w:cs="Times New Roman"/>
          <w:b/>
          <w:bCs/>
          <w:color w:val="auto"/>
          <w:sz w:val="24"/>
          <w:szCs w:val="24"/>
          <w:highlight w:val="none"/>
        </w:rPr>
      </w:pPr>
      <w:r>
        <w:rPr>
          <w:rFonts w:ascii="仿宋" w:hAnsi="仿宋" w:eastAsia="仿宋" w:cs="Times New Roman"/>
          <w:b/>
          <w:bCs/>
          <w:color w:val="auto"/>
          <w:sz w:val="24"/>
          <w:szCs w:val="24"/>
          <w:highlight w:val="none"/>
        </w:rPr>
        <w:t>2.8 质量保证</w:t>
      </w:r>
      <w:bookmarkEnd w:id="184"/>
    </w:p>
    <w:p w14:paraId="38DF8AED">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2.8.1 乙方应建立和完善履行合同的内部质量保证体系，并提供相关内部规章制度给甲方，以便甲方进行监督检查；</w:t>
      </w:r>
    </w:p>
    <w:p w14:paraId="58D17744">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2.8.2 乙方应保证履行合同的人员数量和素质、软件和硬件设备的配置、场地、环境和设施等满足全面履行合同的要求，并应接受甲方的监督检查。</w:t>
      </w:r>
    </w:p>
    <w:p w14:paraId="7984411A">
      <w:pPr>
        <w:spacing w:line="360" w:lineRule="auto"/>
        <w:ind w:firstLine="482" w:firstLineChars="200"/>
        <w:rPr>
          <w:rFonts w:ascii="仿宋" w:hAnsi="仿宋" w:eastAsia="仿宋" w:cs="Times New Roman"/>
          <w:b/>
          <w:bCs/>
          <w:color w:val="auto"/>
          <w:sz w:val="24"/>
          <w:szCs w:val="24"/>
          <w:highlight w:val="none"/>
        </w:rPr>
      </w:pPr>
      <w:bookmarkStart w:id="185" w:name="_Toc17244"/>
      <w:bookmarkStart w:id="186" w:name="_Toc279701252"/>
      <w:bookmarkStart w:id="187" w:name="_Toc259093681"/>
      <w:bookmarkStart w:id="188" w:name="_Toc487900362"/>
      <w:r>
        <w:rPr>
          <w:rFonts w:ascii="仿宋" w:hAnsi="仿宋" w:eastAsia="仿宋" w:cs="Times New Roman"/>
          <w:b/>
          <w:bCs/>
          <w:color w:val="auto"/>
          <w:sz w:val="24"/>
          <w:szCs w:val="24"/>
          <w:highlight w:val="none"/>
        </w:rPr>
        <w:t>2.9 货物的风险负担</w:t>
      </w:r>
      <w:bookmarkEnd w:id="185"/>
    </w:p>
    <w:p w14:paraId="4300C9C6">
      <w:pPr>
        <w:spacing w:line="560" w:lineRule="exact"/>
        <w:ind w:firstLine="480" w:firstLineChars="200"/>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货物或者在途货物或者交付给第一承运人后的货物毁损、灭失的风险负担</w:t>
      </w:r>
      <w:r>
        <w:rPr>
          <w:rFonts w:ascii="仿宋" w:hAnsi="仿宋" w:eastAsia="仿宋" w:cs="Times New Roman"/>
          <w:color w:val="auto"/>
          <w:sz w:val="24"/>
          <w:szCs w:val="24"/>
          <w:highlight w:val="none"/>
        </w:rPr>
        <w:t>详见</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w:t>
      </w:r>
    </w:p>
    <w:p w14:paraId="7E55F199">
      <w:pPr>
        <w:spacing w:line="360" w:lineRule="auto"/>
        <w:ind w:firstLine="482" w:firstLineChars="200"/>
        <w:rPr>
          <w:rFonts w:ascii="仿宋" w:hAnsi="仿宋" w:eastAsia="仿宋" w:cs="Times New Roman"/>
          <w:b/>
          <w:bCs/>
          <w:color w:val="auto"/>
          <w:sz w:val="24"/>
          <w:szCs w:val="24"/>
          <w:highlight w:val="none"/>
        </w:rPr>
      </w:pPr>
      <w:bookmarkStart w:id="189" w:name="_Toc14055"/>
      <w:r>
        <w:rPr>
          <w:rFonts w:ascii="仿宋" w:hAnsi="仿宋" w:eastAsia="仿宋" w:cs="Times New Roman"/>
          <w:b/>
          <w:bCs/>
          <w:color w:val="auto"/>
          <w:sz w:val="24"/>
          <w:szCs w:val="24"/>
          <w:highlight w:val="none"/>
        </w:rPr>
        <w:t>2.10 延迟交货</w:t>
      </w:r>
      <w:bookmarkEnd w:id="186"/>
      <w:bookmarkEnd w:id="187"/>
      <w:bookmarkEnd w:id="188"/>
      <w:bookmarkEnd w:id="189"/>
    </w:p>
    <w:p w14:paraId="37C3D5A2">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在合同履行过程中，如果乙方遇到不能按时交付货物的情况，应及时以书面形式将不能按时</w:t>
      </w:r>
      <w:r>
        <w:rPr>
          <w:rFonts w:hint="eastAsia" w:ascii="仿宋" w:hAnsi="仿宋" w:eastAsia="仿宋" w:cs="Times New Roman"/>
          <w:color w:val="auto"/>
          <w:sz w:val="24"/>
          <w:szCs w:val="24"/>
          <w:highlight w:val="none"/>
        </w:rPr>
        <w:t>交付货物</w:t>
      </w:r>
      <w:r>
        <w:rPr>
          <w:rFonts w:ascii="仿宋" w:hAnsi="仿宋" w:eastAsia="仿宋" w:cs="Times New Roman"/>
          <w:color w:val="auto"/>
          <w:sz w:val="24"/>
          <w:szCs w:val="24"/>
          <w:highlight w:val="none"/>
        </w:rPr>
        <w:t>的理由、预期延误时间通知甲方</w:t>
      </w:r>
      <w:r>
        <w:rPr>
          <w:rFonts w:hint="eastAsia" w:ascii="仿宋" w:hAnsi="仿宋" w:eastAsia="仿宋" w:cs="Times New Roman"/>
          <w:color w:val="auto"/>
          <w:sz w:val="24"/>
          <w:szCs w:val="24"/>
          <w:highlight w:val="none"/>
        </w:rPr>
        <w:t>；甲</w:t>
      </w:r>
      <w:r>
        <w:rPr>
          <w:rFonts w:ascii="仿宋" w:hAnsi="仿宋" w:eastAsia="仿宋" w:cs="Times New Roman"/>
          <w:color w:val="auto"/>
          <w:sz w:val="24"/>
          <w:szCs w:val="24"/>
          <w:highlight w:val="none"/>
        </w:rPr>
        <w:t>方收到乙方通知后，认为其理由正当的，可以书面形式酌情同意乙方可以延长交货的具体时间。</w:t>
      </w:r>
    </w:p>
    <w:p w14:paraId="710F479B">
      <w:pPr>
        <w:spacing w:line="360" w:lineRule="auto"/>
        <w:ind w:firstLine="482" w:firstLineChars="200"/>
        <w:rPr>
          <w:rFonts w:ascii="仿宋" w:hAnsi="仿宋" w:eastAsia="仿宋" w:cs="Times New Roman"/>
          <w:b/>
          <w:bCs/>
          <w:color w:val="auto"/>
          <w:sz w:val="24"/>
          <w:szCs w:val="24"/>
          <w:highlight w:val="none"/>
        </w:rPr>
      </w:pPr>
      <w:bookmarkStart w:id="190" w:name="_Toc7502"/>
      <w:r>
        <w:rPr>
          <w:rFonts w:ascii="仿宋" w:hAnsi="仿宋" w:eastAsia="仿宋" w:cs="Times New Roman"/>
          <w:b/>
          <w:bCs/>
          <w:color w:val="auto"/>
          <w:sz w:val="24"/>
          <w:szCs w:val="24"/>
          <w:highlight w:val="none"/>
        </w:rPr>
        <w:t>2.11 合同变更</w:t>
      </w:r>
      <w:bookmarkEnd w:id="190"/>
    </w:p>
    <w:p w14:paraId="675E031E">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14:paraId="6D845793">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2.11.2 合同继续履行将损害国家利益和社会公共利益的，双方当事人应当以书面形式变更合同。有过错的一方应当承担赔偿责任，双方当事人都有过错的，各自承担相应的责任。</w:t>
      </w:r>
      <w:bookmarkStart w:id="191" w:name="_Toc487900369"/>
      <w:bookmarkStart w:id="192" w:name="_Toc279701259"/>
      <w:bookmarkStart w:id="193" w:name="_Toc259093688"/>
    </w:p>
    <w:p w14:paraId="71FACCD5">
      <w:pPr>
        <w:spacing w:line="360" w:lineRule="auto"/>
        <w:ind w:firstLine="482" w:firstLineChars="200"/>
        <w:rPr>
          <w:rFonts w:ascii="仿宋" w:hAnsi="仿宋" w:eastAsia="仿宋" w:cs="Times New Roman"/>
          <w:b/>
          <w:bCs/>
          <w:color w:val="auto"/>
          <w:sz w:val="24"/>
          <w:szCs w:val="24"/>
          <w:highlight w:val="none"/>
        </w:rPr>
      </w:pPr>
      <w:bookmarkStart w:id="194" w:name="_Toc22955"/>
      <w:bookmarkStart w:id="195" w:name="_Toc10366"/>
      <w:bookmarkStart w:id="196" w:name="_Toc15237"/>
      <w:r>
        <w:rPr>
          <w:rFonts w:hint="eastAsia" w:ascii="仿宋" w:hAnsi="仿宋" w:eastAsia="仿宋" w:cs="Times New Roman"/>
          <w:b/>
          <w:bCs/>
          <w:color w:val="auto"/>
          <w:sz w:val="24"/>
          <w:szCs w:val="24"/>
          <w:highlight w:val="none"/>
        </w:rPr>
        <w:t xml:space="preserve">2.12 </w:t>
      </w:r>
      <w:r>
        <w:rPr>
          <w:rFonts w:ascii="仿宋" w:hAnsi="仿宋" w:eastAsia="仿宋" w:cs="Times New Roman"/>
          <w:b/>
          <w:bCs/>
          <w:color w:val="auto"/>
          <w:sz w:val="24"/>
          <w:szCs w:val="24"/>
          <w:highlight w:val="none"/>
        </w:rPr>
        <w:t>合同转让</w:t>
      </w:r>
      <w:bookmarkEnd w:id="191"/>
      <w:bookmarkEnd w:id="192"/>
      <w:bookmarkEnd w:id="193"/>
      <w:r>
        <w:rPr>
          <w:rFonts w:ascii="仿宋" w:hAnsi="仿宋" w:eastAsia="仿宋" w:cs="Times New Roman"/>
          <w:b/>
          <w:bCs/>
          <w:color w:val="auto"/>
          <w:sz w:val="24"/>
          <w:szCs w:val="24"/>
          <w:highlight w:val="none"/>
        </w:rPr>
        <w:t>和分包</w:t>
      </w:r>
      <w:bookmarkEnd w:id="194"/>
      <w:bookmarkEnd w:id="195"/>
      <w:bookmarkEnd w:id="196"/>
    </w:p>
    <w:p w14:paraId="3A44A10E">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合同的权利义务依法不</w:t>
      </w:r>
      <w:r>
        <w:rPr>
          <w:rFonts w:hint="eastAsia" w:ascii="仿宋" w:hAnsi="仿宋" w:eastAsia="仿宋" w:cs="Times New Roman"/>
          <w:color w:val="auto"/>
          <w:sz w:val="24"/>
          <w:szCs w:val="24"/>
          <w:highlight w:val="none"/>
        </w:rPr>
        <w:t>得</w:t>
      </w:r>
      <w:r>
        <w:rPr>
          <w:rFonts w:ascii="仿宋" w:hAnsi="仿宋" w:eastAsia="仿宋" w:cs="Times New Roman"/>
          <w:color w:val="auto"/>
          <w:sz w:val="24"/>
          <w:szCs w:val="24"/>
          <w:highlight w:val="none"/>
        </w:rPr>
        <w:t>转让</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但经甲方</w:t>
      </w:r>
      <w:r>
        <w:rPr>
          <w:rFonts w:hint="eastAsia" w:ascii="仿宋" w:hAnsi="仿宋" w:eastAsia="仿宋" w:cs="Times New Roman"/>
          <w:color w:val="auto"/>
          <w:sz w:val="24"/>
          <w:szCs w:val="24"/>
          <w:highlight w:val="none"/>
        </w:rPr>
        <w:t>同意，乙方可以依法采取分包方式履行合同，即：依法可以</w:t>
      </w:r>
      <w:r>
        <w:rPr>
          <w:rFonts w:ascii="仿宋" w:hAnsi="仿宋" w:eastAsia="仿宋" w:cs="Times New Roman"/>
          <w:color w:val="auto"/>
          <w:sz w:val="24"/>
          <w:szCs w:val="24"/>
          <w:highlight w:val="none"/>
        </w:rPr>
        <w:t>将合同项下的部分非主体、非关键性工作分包给他人完成</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接受分包的人应当具备相应的资格条件，并不得再次分包</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且乙方应就分包项目向甲方负责</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并</w:t>
      </w:r>
      <w:r>
        <w:rPr>
          <w:rFonts w:hint="eastAsia" w:ascii="仿宋" w:hAnsi="仿宋" w:eastAsia="仿宋" w:cs="Times New Roman"/>
          <w:color w:val="auto"/>
          <w:sz w:val="24"/>
          <w:szCs w:val="24"/>
          <w:highlight w:val="none"/>
        </w:rPr>
        <w:t>与分包供应商就分包项目向甲方承担连带责任。</w:t>
      </w:r>
    </w:p>
    <w:p w14:paraId="3ABD1B1A">
      <w:pPr>
        <w:spacing w:line="560" w:lineRule="exact"/>
        <w:ind w:firstLine="482" w:firstLineChars="200"/>
        <w:rPr>
          <w:rFonts w:ascii="仿宋" w:hAnsi="仿宋" w:eastAsia="仿宋" w:cs="Times New Roman"/>
          <w:b/>
          <w:bCs/>
          <w:color w:val="auto"/>
          <w:sz w:val="24"/>
          <w:szCs w:val="24"/>
          <w:highlight w:val="none"/>
        </w:rPr>
      </w:pPr>
      <w:bookmarkStart w:id="197" w:name="_Toc14066"/>
      <w:bookmarkStart w:id="198" w:name="_Toc16508"/>
      <w:bookmarkStart w:id="199" w:name="_Toc13566"/>
      <w:r>
        <w:rPr>
          <w:rFonts w:hint="eastAsia" w:ascii="仿宋" w:hAnsi="仿宋" w:eastAsia="仿宋" w:cs="Times New Roman"/>
          <w:b/>
          <w:bCs/>
          <w:color w:val="auto"/>
          <w:sz w:val="24"/>
          <w:szCs w:val="24"/>
          <w:highlight w:val="none"/>
        </w:rPr>
        <w:t>2.13</w:t>
      </w:r>
      <w:r>
        <w:rPr>
          <w:rFonts w:ascii="仿宋" w:hAnsi="仿宋" w:eastAsia="仿宋" w:cs="Times New Roman"/>
          <w:b/>
          <w:bCs/>
          <w:color w:val="auto"/>
          <w:sz w:val="24"/>
          <w:szCs w:val="24"/>
          <w:highlight w:val="none"/>
        </w:rPr>
        <w:t xml:space="preserve"> 不可抗力</w:t>
      </w:r>
      <w:bookmarkEnd w:id="197"/>
      <w:bookmarkEnd w:id="198"/>
      <w:bookmarkEnd w:id="199"/>
    </w:p>
    <w:p w14:paraId="005BF007">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2.13</w:t>
      </w:r>
      <w:r>
        <w:rPr>
          <w:rFonts w:ascii="仿宋" w:hAnsi="仿宋" w:eastAsia="仿宋" w:cs="Times New Roman"/>
          <w:color w:val="auto"/>
          <w:sz w:val="24"/>
          <w:szCs w:val="24"/>
          <w:highlight w:val="none"/>
        </w:rPr>
        <w:t>.1如果任何一方遭遇法律规定的不可抗力，致使合同履行受阻时，履行合同的期限应予延长，延长的期限应相当于不可抗力所影响的时间</w:t>
      </w:r>
      <w:r>
        <w:rPr>
          <w:rFonts w:hint="eastAsia" w:ascii="仿宋" w:hAnsi="仿宋" w:eastAsia="仿宋" w:cs="Times New Roman"/>
          <w:color w:val="auto"/>
          <w:sz w:val="24"/>
          <w:szCs w:val="24"/>
          <w:highlight w:val="none"/>
        </w:rPr>
        <w:t>；</w:t>
      </w:r>
    </w:p>
    <w:p w14:paraId="588FDA6B">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2.13.2 因不可抗力致使不能实现合同目的的，当事人可以解除合同；</w:t>
      </w:r>
    </w:p>
    <w:p w14:paraId="065B750A">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2.13.3 因</w:t>
      </w:r>
      <w:r>
        <w:rPr>
          <w:rFonts w:ascii="仿宋" w:hAnsi="仿宋" w:eastAsia="仿宋" w:cs="Times New Roman"/>
          <w:color w:val="auto"/>
          <w:sz w:val="24"/>
          <w:szCs w:val="24"/>
          <w:highlight w:val="none"/>
        </w:rPr>
        <w:t>不可抗力致使合同有变更必要的，双方当事人应在</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约定时间内以书面形式变更合同</w:t>
      </w:r>
      <w:r>
        <w:rPr>
          <w:rFonts w:hint="eastAsia" w:ascii="仿宋" w:hAnsi="仿宋" w:eastAsia="仿宋" w:cs="Times New Roman"/>
          <w:color w:val="auto"/>
          <w:sz w:val="24"/>
          <w:szCs w:val="24"/>
          <w:highlight w:val="none"/>
        </w:rPr>
        <w:t>；</w:t>
      </w:r>
    </w:p>
    <w:p w14:paraId="5B942CDF">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2.13</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4</w:t>
      </w:r>
      <w:r>
        <w:rPr>
          <w:rFonts w:ascii="仿宋" w:hAnsi="仿宋" w:eastAsia="仿宋" w:cs="Times New Roman"/>
          <w:color w:val="auto"/>
          <w:sz w:val="24"/>
          <w:szCs w:val="24"/>
          <w:highlight w:val="none"/>
        </w:rPr>
        <w:t>受</w:t>
      </w:r>
      <w:r>
        <w:rPr>
          <w:rFonts w:hint="eastAsia" w:ascii="仿宋" w:hAnsi="仿宋" w:eastAsia="仿宋" w:cs="Times New Roman"/>
          <w:color w:val="auto"/>
          <w:sz w:val="24"/>
          <w:szCs w:val="24"/>
          <w:highlight w:val="none"/>
        </w:rPr>
        <w:t>不可抗力</w:t>
      </w:r>
      <w:r>
        <w:rPr>
          <w:rFonts w:ascii="仿宋" w:hAnsi="仿宋" w:eastAsia="仿宋" w:cs="Times New Roman"/>
          <w:color w:val="auto"/>
          <w:sz w:val="24"/>
          <w:szCs w:val="24"/>
          <w:highlight w:val="none"/>
        </w:rPr>
        <w:t>影响的一方在不可抗力发生后</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应在</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约定时间内以书面形式通知</w:t>
      </w:r>
      <w:r>
        <w:rPr>
          <w:rFonts w:hint="eastAsia" w:ascii="仿宋" w:hAnsi="仿宋" w:eastAsia="仿宋" w:cs="Times New Roman"/>
          <w:color w:val="auto"/>
          <w:sz w:val="24"/>
          <w:szCs w:val="24"/>
          <w:highlight w:val="none"/>
        </w:rPr>
        <w:t>对</w:t>
      </w:r>
      <w:r>
        <w:rPr>
          <w:rFonts w:ascii="仿宋" w:hAnsi="仿宋" w:eastAsia="仿宋" w:cs="Times New Roman"/>
          <w:color w:val="auto"/>
          <w:sz w:val="24"/>
          <w:szCs w:val="24"/>
          <w:highlight w:val="none"/>
        </w:rPr>
        <w:t>方当事人，并在</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约定时间内，将有关部门出具的证明文件送达</w:t>
      </w:r>
      <w:r>
        <w:rPr>
          <w:rFonts w:hint="eastAsia" w:ascii="仿宋" w:hAnsi="仿宋" w:eastAsia="仿宋" w:cs="Times New Roman"/>
          <w:color w:val="auto"/>
          <w:sz w:val="24"/>
          <w:szCs w:val="24"/>
          <w:highlight w:val="none"/>
        </w:rPr>
        <w:t>对方当事人</w:t>
      </w:r>
      <w:r>
        <w:rPr>
          <w:rFonts w:ascii="仿宋" w:hAnsi="仿宋" w:eastAsia="仿宋" w:cs="Times New Roman"/>
          <w:color w:val="auto"/>
          <w:sz w:val="24"/>
          <w:szCs w:val="24"/>
          <w:highlight w:val="none"/>
        </w:rPr>
        <w:t>。</w:t>
      </w:r>
    </w:p>
    <w:p w14:paraId="47BB86FC">
      <w:pPr>
        <w:spacing w:line="360" w:lineRule="auto"/>
        <w:ind w:firstLine="482" w:firstLineChars="200"/>
        <w:rPr>
          <w:rFonts w:ascii="仿宋" w:hAnsi="仿宋" w:eastAsia="仿宋" w:cs="Times New Roman"/>
          <w:b/>
          <w:bCs/>
          <w:color w:val="auto"/>
          <w:sz w:val="24"/>
          <w:szCs w:val="24"/>
          <w:highlight w:val="none"/>
        </w:rPr>
      </w:pPr>
      <w:bookmarkStart w:id="200" w:name="_Toc689"/>
      <w:bookmarkStart w:id="201" w:name="_Toc259093684"/>
      <w:bookmarkStart w:id="202" w:name="_Toc487900365"/>
      <w:bookmarkStart w:id="203" w:name="_Toc6969"/>
      <w:bookmarkStart w:id="204" w:name="_Toc30676"/>
      <w:bookmarkStart w:id="205" w:name="_Toc279701255"/>
      <w:r>
        <w:rPr>
          <w:rFonts w:hint="eastAsia" w:ascii="仿宋" w:hAnsi="仿宋" w:eastAsia="仿宋" w:cs="Times New Roman"/>
          <w:b/>
          <w:bCs/>
          <w:color w:val="auto"/>
          <w:sz w:val="24"/>
          <w:szCs w:val="24"/>
          <w:highlight w:val="none"/>
        </w:rPr>
        <w:t>2.</w:t>
      </w:r>
      <w:r>
        <w:rPr>
          <w:rFonts w:ascii="仿宋" w:hAnsi="仿宋" w:eastAsia="仿宋" w:cs="Times New Roman"/>
          <w:b/>
          <w:bCs/>
          <w:color w:val="auto"/>
          <w:sz w:val="24"/>
          <w:szCs w:val="24"/>
          <w:highlight w:val="none"/>
        </w:rPr>
        <w:t>1</w:t>
      </w:r>
      <w:r>
        <w:rPr>
          <w:rFonts w:hint="eastAsia" w:ascii="仿宋" w:hAnsi="仿宋" w:eastAsia="仿宋" w:cs="Times New Roman"/>
          <w:b/>
          <w:bCs/>
          <w:color w:val="auto"/>
          <w:sz w:val="24"/>
          <w:szCs w:val="24"/>
          <w:highlight w:val="none"/>
        </w:rPr>
        <w:t xml:space="preserve">4 </w:t>
      </w:r>
      <w:r>
        <w:rPr>
          <w:rFonts w:ascii="仿宋" w:hAnsi="仿宋" w:eastAsia="仿宋" w:cs="Times New Roman"/>
          <w:b/>
          <w:bCs/>
          <w:color w:val="auto"/>
          <w:sz w:val="24"/>
          <w:szCs w:val="24"/>
          <w:highlight w:val="none"/>
        </w:rPr>
        <w:t>税费</w:t>
      </w:r>
      <w:bookmarkEnd w:id="200"/>
      <w:bookmarkEnd w:id="201"/>
      <w:bookmarkEnd w:id="202"/>
      <w:bookmarkEnd w:id="203"/>
      <w:bookmarkEnd w:id="204"/>
      <w:bookmarkEnd w:id="205"/>
    </w:p>
    <w:p w14:paraId="40C2EF73">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与合同有关的一切税费</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均按照中华人民共和国法律的相关规定。</w:t>
      </w:r>
    </w:p>
    <w:p w14:paraId="0CBFC878">
      <w:pPr>
        <w:spacing w:line="360" w:lineRule="auto"/>
        <w:ind w:firstLine="482" w:firstLineChars="200"/>
        <w:rPr>
          <w:rFonts w:ascii="仿宋" w:hAnsi="仿宋" w:eastAsia="仿宋" w:cs="Times New Roman"/>
          <w:b/>
          <w:bCs/>
          <w:color w:val="auto"/>
          <w:sz w:val="24"/>
          <w:szCs w:val="24"/>
          <w:highlight w:val="none"/>
        </w:rPr>
      </w:pPr>
      <w:bookmarkStart w:id="206" w:name="_Toc16959"/>
      <w:bookmarkStart w:id="207" w:name="_Toc279701258"/>
      <w:bookmarkStart w:id="208" w:name="_Toc8298"/>
      <w:bookmarkStart w:id="209" w:name="_Toc259093687"/>
      <w:bookmarkStart w:id="210" w:name="_Toc487900368"/>
      <w:bookmarkStart w:id="211" w:name="_Toc7102"/>
      <w:r>
        <w:rPr>
          <w:rFonts w:hint="eastAsia" w:ascii="仿宋" w:hAnsi="仿宋" w:eastAsia="仿宋" w:cs="Times New Roman"/>
          <w:b/>
          <w:bCs/>
          <w:color w:val="auto"/>
          <w:sz w:val="24"/>
          <w:szCs w:val="24"/>
          <w:highlight w:val="none"/>
        </w:rPr>
        <w:t>2.</w:t>
      </w:r>
      <w:r>
        <w:rPr>
          <w:rFonts w:ascii="仿宋" w:hAnsi="仿宋" w:eastAsia="仿宋" w:cs="Times New Roman"/>
          <w:b/>
          <w:bCs/>
          <w:color w:val="auto"/>
          <w:sz w:val="24"/>
          <w:szCs w:val="24"/>
          <w:highlight w:val="none"/>
        </w:rPr>
        <w:t>1</w:t>
      </w:r>
      <w:r>
        <w:rPr>
          <w:rFonts w:hint="eastAsia" w:ascii="仿宋" w:hAnsi="仿宋" w:eastAsia="仿宋" w:cs="Times New Roman"/>
          <w:b/>
          <w:bCs/>
          <w:color w:val="auto"/>
          <w:sz w:val="24"/>
          <w:szCs w:val="24"/>
          <w:highlight w:val="none"/>
        </w:rPr>
        <w:t xml:space="preserve">5 </w:t>
      </w:r>
      <w:r>
        <w:rPr>
          <w:rFonts w:ascii="仿宋" w:hAnsi="仿宋" w:eastAsia="仿宋" w:cs="Times New Roman"/>
          <w:b/>
          <w:bCs/>
          <w:color w:val="auto"/>
          <w:sz w:val="24"/>
          <w:szCs w:val="24"/>
          <w:highlight w:val="none"/>
        </w:rPr>
        <w:t>乙方破产</w:t>
      </w:r>
      <w:bookmarkEnd w:id="206"/>
      <w:bookmarkEnd w:id="207"/>
      <w:bookmarkEnd w:id="208"/>
      <w:bookmarkEnd w:id="209"/>
      <w:bookmarkEnd w:id="210"/>
      <w:bookmarkEnd w:id="211"/>
    </w:p>
    <w:p w14:paraId="17C63A79">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如果乙方破产导致合同无法履行时，甲方可以书面形式通知乙方终止合同且不给予乙方任何补偿和赔偿</w:t>
      </w:r>
      <w:r>
        <w:rPr>
          <w:rFonts w:hint="eastAsia" w:ascii="仿宋" w:hAnsi="仿宋" w:eastAsia="仿宋" w:cs="Times New Roman"/>
          <w:color w:val="auto"/>
          <w:sz w:val="24"/>
          <w:szCs w:val="24"/>
          <w:highlight w:val="none"/>
        </w:rPr>
        <w:t>，但合同的</w:t>
      </w:r>
      <w:r>
        <w:rPr>
          <w:rFonts w:ascii="仿宋" w:hAnsi="仿宋" w:eastAsia="仿宋" w:cs="Times New Roman"/>
          <w:color w:val="auto"/>
          <w:sz w:val="24"/>
          <w:szCs w:val="24"/>
          <w:highlight w:val="none"/>
        </w:rPr>
        <w:t>终止不损害或不影响甲方已经采取或将要采取的任何要求乙方支付违约金</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赔偿损失等的行动或补救措施的权利</w:t>
      </w:r>
      <w:r>
        <w:rPr>
          <w:rFonts w:hint="eastAsia" w:ascii="仿宋" w:hAnsi="仿宋" w:eastAsia="仿宋" w:cs="Times New Roman"/>
          <w:color w:val="auto"/>
          <w:sz w:val="24"/>
          <w:szCs w:val="24"/>
          <w:highlight w:val="none"/>
        </w:rPr>
        <w:t>。</w:t>
      </w:r>
    </w:p>
    <w:p w14:paraId="489765A4">
      <w:pPr>
        <w:spacing w:line="360" w:lineRule="auto"/>
        <w:ind w:firstLine="482" w:firstLineChars="200"/>
        <w:rPr>
          <w:rFonts w:ascii="仿宋" w:hAnsi="仿宋" w:eastAsia="仿宋" w:cs="Times New Roman"/>
          <w:b/>
          <w:bCs/>
          <w:color w:val="auto"/>
          <w:sz w:val="24"/>
          <w:szCs w:val="24"/>
          <w:highlight w:val="none"/>
        </w:rPr>
      </w:pPr>
      <w:bookmarkStart w:id="212" w:name="_Toc15387"/>
      <w:bookmarkStart w:id="213" w:name="_Toc29333"/>
      <w:bookmarkStart w:id="214" w:name="_Toc6134"/>
      <w:r>
        <w:rPr>
          <w:rFonts w:hint="eastAsia" w:ascii="仿宋" w:hAnsi="仿宋" w:eastAsia="仿宋" w:cs="Times New Roman"/>
          <w:b/>
          <w:bCs/>
          <w:color w:val="auto"/>
          <w:sz w:val="24"/>
          <w:szCs w:val="24"/>
          <w:highlight w:val="none"/>
        </w:rPr>
        <w:t>2.16 合同中止、终止</w:t>
      </w:r>
      <w:bookmarkEnd w:id="212"/>
      <w:bookmarkEnd w:id="213"/>
      <w:bookmarkEnd w:id="214"/>
    </w:p>
    <w:p w14:paraId="2C625F55">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2.16.1 双方当事人不得擅自中止或者终止合同；</w:t>
      </w:r>
    </w:p>
    <w:p w14:paraId="12068A6E">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2.16.2合同继续履行将损害国家利益和社会公共利益的，双方当事人应当中止或者终止合同。有过错的一方应当承担赔偿责任，双方当事人都有过错的，各自承担相应的责任。</w:t>
      </w:r>
    </w:p>
    <w:p w14:paraId="4E1B8D57">
      <w:pPr>
        <w:spacing w:line="360" w:lineRule="auto"/>
        <w:ind w:firstLine="482" w:firstLineChars="200"/>
        <w:rPr>
          <w:rFonts w:ascii="仿宋" w:hAnsi="仿宋" w:eastAsia="仿宋" w:cs="Times New Roman"/>
          <w:b/>
          <w:bCs/>
          <w:color w:val="auto"/>
          <w:sz w:val="24"/>
          <w:szCs w:val="24"/>
          <w:highlight w:val="none"/>
        </w:rPr>
      </w:pPr>
      <w:bookmarkStart w:id="215" w:name="_Toc6596"/>
      <w:bookmarkStart w:id="216" w:name="_Toc1125"/>
      <w:bookmarkStart w:id="217" w:name="_Toc14563"/>
      <w:r>
        <w:rPr>
          <w:rFonts w:hint="eastAsia" w:ascii="仿宋" w:hAnsi="仿宋" w:eastAsia="仿宋" w:cs="Times New Roman"/>
          <w:b/>
          <w:bCs/>
          <w:color w:val="auto"/>
          <w:sz w:val="24"/>
          <w:szCs w:val="24"/>
          <w:highlight w:val="none"/>
        </w:rPr>
        <w:t>2.17 检验和验收</w:t>
      </w:r>
      <w:bookmarkEnd w:id="215"/>
      <w:bookmarkEnd w:id="216"/>
      <w:bookmarkEnd w:id="217"/>
    </w:p>
    <w:p w14:paraId="094810E3">
      <w:pPr>
        <w:tabs>
          <w:tab w:val="left" w:pos="360"/>
          <w:tab w:val="left" w:pos="540"/>
          <w:tab w:val="left" w:pos="1080"/>
        </w:tabs>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7</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1货物交付前，乙方应对货物的质量、数量等方面进行详细、全面的检验，并向甲方出具证明货物符合合同约定的文件；货物交付时，乙方在</w:t>
      </w:r>
      <w:r>
        <w:rPr>
          <w:rFonts w:hint="eastAsia" w:ascii="仿宋" w:hAnsi="仿宋" w:eastAsia="仿宋" w:cs="Times New Roman"/>
          <w:b/>
          <w:i/>
          <w:color w:val="auto"/>
          <w:sz w:val="24"/>
          <w:szCs w:val="24"/>
          <w:highlight w:val="none"/>
          <w:u w:val="single"/>
        </w:rPr>
        <w:t>合同专用条款</w:t>
      </w:r>
      <w:r>
        <w:rPr>
          <w:rFonts w:hint="eastAsia" w:ascii="仿宋" w:hAnsi="仿宋" w:eastAsia="仿宋" w:cs="Times New Roman"/>
          <w:color w:val="auto"/>
          <w:sz w:val="24"/>
          <w:szCs w:val="24"/>
          <w:highlight w:val="none"/>
        </w:rPr>
        <w:t>约定时间内组织验收，并可依法邀请相关方参加，验收应出具验收书。</w:t>
      </w:r>
    </w:p>
    <w:p w14:paraId="524D292E">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5CE322B">
      <w:pPr>
        <w:tabs>
          <w:tab w:val="left" w:pos="360"/>
          <w:tab w:val="left" w:pos="540"/>
          <w:tab w:val="left" w:pos="1080"/>
        </w:tabs>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2.17.3 检验和验收标准、程序等具体内容以及前述验收书的效力详见</w:t>
      </w:r>
      <w:r>
        <w:rPr>
          <w:rFonts w:ascii="仿宋" w:hAnsi="仿宋" w:eastAsia="仿宋" w:cs="Times New Roman"/>
          <w:b/>
          <w:i/>
          <w:color w:val="auto"/>
          <w:sz w:val="24"/>
          <w:szCs w:val="24"/>
          <w:highlight w:val="none"/>
          <w:u w:val="single"/>
        </w:rPr>
        <w:t>合同专用条款</w:t>
      </w:r>
      <w:r>
        <w:rPr>
          <w:rFonts w:hint="eastAsia" w:ascii="仿宋" w:hAnsi="仿宋" w:eastAsia="仿宋" w:cs="Times New Roman"/>
          <w:i/>
          <w:color w:val="auto"/>
          <w:sz w:val="24"/>
          <w:szCs w:val="24"/>
          <w:highlight w:val="none"/>
        </w:rPr>
        <w:t>。</w:t>
      </w:r>
    </w:p>
    <w:p w14:paraId="295CB949">
      <w:pPr>
        <w:spacing w:line="360" w:lineRule="auto"/>
        <w:ind w:firstLine="482" w:firstLineChars="200"/>
        <w:rPr>
          <w:rFonts w:ascii="仿宋" w:hAnsi="仿宋" w:eastAsia="仿宋" w:cs="Times New Roman"/>
          <w:b/>
          <w:bCs/>
          <w:color w:val="auto"/>
          <w:sz w:val="24"/>
          <w:szCs w:val="24"/>
          <w:highlight w:val="none"/>
        </w:rPr>
      </w:pPr>
      <w:bookmarkStart w:id="218" w:name="_Toc259093690"/>
      <w:bookmarkStart w:id="219" w:name="_Toc279701261"/>
      <w:bookmarkStart w:id="220" w:name="_Toc487900371"/>
      <w:bookmarkStart w:id="221" w:name="_Toc25182"/>
      <w:bookmarkStart w:id="222" w:name="_Toc11284"/>
      <w:bookmarkStart w:id="223" w:name="_Toc19604"/>
      <w:r>
        <w:rPr>
          <w:rFonts w:hint="eastAsia" w:ascii="仿宋" w:hAnsi="仿宋" w:eastAsia="仿宋" w:cs="Times New Roman"/>
          <w:b/>
          <w:bCs/>
          <w:color w:val="auto"/>
          <w:sz w:val="24"/>
          <w:szCs w:val="24"/>
          <w:highlight w:val="none"/>
        </w:rPr>
        <w:t xml:space="preserve">2.18 </w:t>
      </w:r>
      <w:r>
        <w:rPr>
          <w:rFonts w:ascii="仿宋" w:hAnsi="仿宋" w:eastAsia="仿宋" w:cs="Times New Roman"/>
          <w:b/>
          <w:bCs/>
          <w:color w:val="auto"/>
          <w:sz w:val="24"/>
          <w:szCs w:val="24"/>
          <w:highlight w:val="none"/>
        </w:rPr>
        <w:t>通知</w:t>
      </w:r>
      <w:bookmarkEnd w:id="218"/>
      <w:bookmarkEnd w:id="219"/>
      <w:bookmarkEnd w:id="220"/>
      <w:r>
        <w:rPr>
          <w:rFonts w:ascii="仿宋" w:hAnsi="仿宋" w:eastAsia="仿宋" w:cs="Times New Roman"/>
          <w:b/>
          <w:bCs/>
          <w:color w:val="auto"/>
          <w:sz w:val="24"/>
          <w:szCs w:val="24"/>
          <w:highlight w:val="none"/>
        </w:rPr>
        <w:t>和送达</w:t>
      </w:r>
      <w:bookmarkEnd w:id="221"/>
      <w:bookmarkEnd w:id="222"/>
      <w:bookmarkEnd w:id="223"/>
    </w:p>
    <w:p w14:paraId="4F204101">
      <w:pPr>
        <w:spacing w:line="560" w:lineRule="exact"/>
        <w:ind w:firstLine="480" w:firstLineChars="200"/>
        <w:rPr>
          <w:rFonts w:ascii="仿宋" w:hAnsi="仿宋" w:eastAsia="仿宋" w:cs="Times New Roman"/>
          <w:color w:val="auto"/>
          <w:sz w:val="24"/>
          <w:szCs w:val="24"/>
          <w:highlight w:val="none"/>
        </w:rPr>
      </w:pPr>
      <w:bookmarkStart w:id="224" w:name="_Toc6698"/>
      <w:bookmarkStart w:id="225" w:name="_Toc3135"/>
      <w:bookmarkStart w:id="226" w:name="_Toc487900372"/>
      <w:bookmarkStart w:id="227" w:name="_Toc259093691"/>
      <w:bookmarkStart w:id="228" w:name="_Toc279701262"/>
      <w:r>
        <w:rPr>
          <w:rFonts w:hint="eastAsia" w:ascii="仿宋" w:hAnsi="仿宋" w:eastAsia="仿宋" w:cs="Times New Roman"/>
          <w:color w:val="auto"/>
          <w:sz w:val="24"/>
          <w:szCs w:val="24"/>
          <w:highlight w:val="none"/>
        </w:rPr>
        <w:t>2.18.1 任何一方因履行合同而以合同第一部分尾部所列明的</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发出的所有通知、文件、材料，均视为已向对方当事人送达；任何一方变更上述送达方式或者地址的，应于</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个工作日内书面通知对方当事人，在对方当事人收到有关变更通知之前，变更前的约定送达方式或者地址仍视为有效。</w:t>
      </w:r>
      <w:bookmarkEnd w:id="224"/>
      <w:bookmarkEnd w:id="225"/>
    </w:p>
    <w:p w14:paraId="36ED9A14">
      <w:pPr>
        <w:spacing w:line="560" w:lineRule="exact"/>
        <w:ind w:firstLine="480" w:firstLineChars="200"/>
        <w:rPr>
          <w:rFonts w:ascii="仿宋" w:hAnsi="仿宋" w:eastAsia="仿宋" w:cs="Times New Roman"/>
          <w:color w:val="auto"/>
          <w:sz w:val="24"/>
          <w:szCs w:val="24"/>
          <w:highlight w:val="none"/>
        </w:rPr>
      </w:pPr>
      <w:bookmarkStart w:id="229" w:name="_Toc23128"/>
      <w:bookmarkStart w:id="230" w:name="_Toc23294"/>
      <w:r>
        <w:rPr>
          <w:rFonts w:hint="eastAsia" w:ascii="仿宋" w:hAnsi="仿宋" w:eastAsia="仿宋" w:cs="Times New Roman"/>
          <w:color w:val="auto"/>
          <w:sz w:val="24"/>
          <w:szCs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29"/>
      <w:bookmarkEnd w:id="230"/>
    </w:p>
    <w:p w14:paraId="3154BB2A">
      <w:pPr>
        <w:spacing w:line="360" w:lineRule="auto"/>
        <w:ind w:firstLine="482" w:firstLineChars="200"/>
        <w:rPr>
          <w:rFonts w:ascii="仿宋" w:hAnsi="仿宋" w:eastAsia="仿宋" w:cs="Times New Roman"/>
          <w:b/>
          <w:bCs/>
          <w:color w:val="auto"/>
          <w:sz w:val="24"/>
          <w:szCs w:val="24"/>
          <w:highlight w:val="none"/>
        </w:rPr>
      </w:pPr>
      <w:bookmarkStart w:id="231" w:name="_Toc30599"/>
      <w:bookmarkStart w:id="232" w:name="_Toc4355"/>
      <w:bookmarkStart w:id="233" w:name="_Toc18540"/>
      <w:r>
        <w:rPr>
          <w:rFonts w:hint="eastAsia" w:ascii="仿宋" w:hAnsi="仿宋" w:eastAsia="仿宋" w:cs="Times New Roman"/>
          <w:b/>
          <w:bCs/>
          <w:color w:val="auto"/>
          <w:sz w:val="24"/>
          <w:szCs w:val="24"/>
          <w:highlight w:val="none"/>
        </w:rPr>
        <w:t xml:space="preserve">2.19 </w:t>
      </w:r>
      <w:r>
        <w:rPr>
          <w:rFonts w:ascii="仿宋" w:hAnsi="仿宋" w:eastAsia="仿宋" w:cs="Times New Roman"/>
          <w:b/>
          <w:bCs/>
          <w:color w:val="auto"/>
          <w:sz w:val="24"/>
          <w:szCs w:val="24"/>
          <w:highlight w:val="none"/>
        </w:rPr>
        <w:t>计量单位</w:t>
      </w:r>
      <w:bookmarkEnd w:id="226"/>
      <w:bookmarkEnd w:id="227"/>
      <w:bookmarkEnd w:id="228"/>
      <w:bookmarkEnd w:id="231"/>
      <w:bookmarkEnd w:id="232"/>
      <w:bookmarkEnd w:id="233"/>
    </w:p>
    <w:p w14:paraId="4FB5E414">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除技术规范中另有规定外,合同的计量单位均使用国家法定计量单位。</w:t>
      </w:r>
    </w:p>
    <w:p w14:paraId="038B56E1">
      <w:pPr>
        <w:spacing w:line="360" w:lineRule="auto"/>
        <w:ind w:firstLine="482" w:firstLineChars="200"/>
        <w:rPr>
          <w:rFonts w:ascii="仿宋" w:hAnsi="仿宋" w:eastAsia="仿宋" w:cs="Times New Roman"/>
          <w:b/>
          <w:bCs/>
          <w:color w:val="auto"/>
          <w:sz w:val="24"/>
          <w:szCs w:val="24"/>
          <w:highlight w:val="none"/>
        </w:rPr>
      </w:pPr>
      <w:bookmarkStart w:id="234" w:name="_Toc279701263"/>
      <w:bookmarkStart w:id="235" w:name="_Toc487900373"/>
      <w:bookmarkStart w:id="236" w:name="_Toc12773"/>
      <w:bookmarkStart w:id="237" w:name="_Toc18567"/>
      <w:bookmarkStart w:id="238" w:name="_Toc10330"/>
      <w:bookmarkStart w:id="239" w:name="_Toc259093692"/>
      <w:r>
        <w:rPr>
          <w:rFonts w:hint="eastAsia" w:ascii="仿宋" w:hAnsi="仿宋" w:eastAsia="仿宋" w:cs="Times New Roman"/>
          <w:b/>
          <w:bCs/>
          <w:color w:val="auto"/>
          <w:sz w:val="24"/>
          <w:szCs w:val="24"/>
          <w:highlight w:val="none"/>
        </w:rPr>
        <w:t>2.20 合同使用的文字和</w:t>
      </w:r>
      <w:r>
        <w:rPr>
          <w:rFonts w:ascii="仿宋" w:hAnsi="仿宋" w:eastAsia="仿宋" w:cs="Times New Roman"/>
          <w:b/>
          <w:bCs/>
          <w:color w:val="auto"/>
          <w:sz w:val="24"/>
          <w:szCs w:val="24"/>
          <w:highlight w:val="none"/>
        </w:rPr>
        <w:t>适用的法律</w:t>
      </w:r>
      <w:bookmarkEnd w:id="234"/>
      <w:bookmarkEnd w:id="235"/>
      <w:bookmarkEnd w:id="236"/>
      <w:bookmarkEnd w:id="237"/>
      <w:bookmarkEnd w:id="238"/>
      <w:bookmarkEnd w:id="239"/>
    </w:p>
    <w:p w14:paraId="300CB82C">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2.20</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 xml:space="preserve"> </w:t>
      </w:r>
      <w:r>
        <w:rPr>
          <w:rFonts w:ascii="仿宋" w:hAnsi="仿宋" w:eastAsia="仿宋" w:cs="Times New Roman"/>
          <w:color w:val="auto"/>
          <w:sz w:val="24"/>
          <w:szCs w:val="24"/>
          <w:highlight w:val="none"/>
        </w:rPr>
        <w:t>合同使用汉语书就</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变更和解释</w:t>
      </w:r>
      <w:r>
        <w:rPr>
          <w:rFonts w:hint="eastAsia" w:ascii="仿宋" w:hAnsi="仿宋" w:eastAsia="仿宋" w:cs="Times New Roman"/>
          <w:color w:val="auto"/>
          <w:sz w:val="24"/>
          <w:szCs w:val="24"/>
          <w:highlight w:val="none"/>
        </w:rPr>
        <w:t>；</w:t>
      </w:r>
    </w:p>
    <w:p w14:paraId="0ECCD0A5">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2.20.2 合同适用</w:t>
      </w:r>
      <w:r>
        <w:rPr>
          <w:rFonts w:ascii="仿宋" w:hAnsi="仿宋" w:eastAsia="仿宋" w:cs="Times New Roman"/>
          <w:color w:val="auto"/>
          <w:sz w:val="24"/>
          <w:szCs w:val="24"/>
          <w:highlight w:val="none"/>
        </w:rPr>
        <w:t>中华人民共和国法律。</w:t>
      </w:r>
    </w:p>
    <w:p w14:paraId="2297727C">
      <w:pPr>
        <w:spacing w:line="360" w:lineRule="auto"/>
        <w:ind w:firstLine="482" w:firstLineChars="200"/>
        <w:rPr>
          <w:rFonts w:ascii="仿宋" w:hAnsi="仿宋" w:eastAsia="仿宋" w:cs="Times New Roman"/>
          <w:b/>
          <w:bCs/>
          <w:color w:val="auto"/>
          <w:sz w:val="24"/>
          <w:szCs w:val="24"/>
          <w:highlight w:val="none"/>
        </w:rPr>
      </w:pPr>
      <w:bookmarkStart w:id="240" w:name="_Toc14001"/>
      <w:bookmarkStart w:id="241" w:name="_Toc6885"/>
      <w:bookmarkStart w:id="242" w:name="_Toc19890"/>
      <w:r>
        <w:rPr>
          <w:rFonts w:hint="eastAsia" w:ascii="仿宋" w:hAnsi="仿宋" w:eastAsia="仿宋" w:cs="Times New Roman"/>
          <w:b/>
          <w:bCs/>
          <w:color w:val="auto"/>
          <w:sz w:val="24"/>
          <w:szCs w:val="24"/>
          <w:highlight w:val="none"/>
        </w:rPr>
        <w:t>2.2</w:t>
      </w:r>
      <w:r>
        <w:rPr>
          <w:rFonts w:hint="eastAsia" w:ascii="仿宋" w:hAnsi="仿宋" w:eastAsia="仿宋" w:cs="Times New Roman"/>
          <w:b/>
          <w:bCs/>
          <w:color w:val="auto"/>
          <w:sz w:val="24"/>
          <w:szCs w:val="24"/>
          <w:highlight w:val="none"/>
          <w:lang w:val="en-US" w:eastAsia="zh-CN"/>
        </w:rPr>
        <w:t>1</w:t>
      </w:r>
      <w:r>
        <w:rPr>
          <w:rFonts w:hint="eastAsia" w:ascii="仿宋" w:hAnsi="仿宋" w:eastAsia="仿宋" w:cs="Times New Roman"/>
          <w:b/>
          <w:bCs/>
          <w:color w:val="auto"/>
          <w:sz w:val="24"/>
          <w:szCs w:val="24"/>
          <w:highlight w:val="none"/>
        </w:rPr>
        <w:t xml:space="preserve"> 合同份数</w:t>
      </w:r>
      <w:bookmarkEnd w:id="240"/>
      <w:bookmarkEnd w:id="241"/>
      <w:bookmarkEnd w:id="242"/>
    </w:p>
    <w:p w14:paraId="4E7B97EE">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合同份数按</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规定</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每份均具有同等法律效力</w:t>
      </w:r>
      <w:r>
        <w:rPr>
          <w:rFonts w:hint="eastAsia" w:ascii="仿宋" w:hAnsi="仿宋" w:eastAsia="仿宋" w:cs="Times New Roman"/>
          <w:color w:val="auto"/>
          <w:sz w:val="24"/>
          <w:szCs w:val="24"/>
          <w:highlight w:val="none"/>
        </w:rPr>
        <w:t>。</w:t>
      </w:r>
    </w:p>
    <w:p w14:paraId="1E317E6F">
      <w:pPr>
        <w:widowControl/>
        <w:jc w:val="left"/>
        <w:rPr>
          <w:rFonts w:ascii="仿宋" w:hAnsi="仿宋" w:eastAsia="仿宋" w:cs="Times New Roman"/>
          <w:b/>
          <w:color w:val="auto"/>
          <w:sz w:val="24"/>
          <w:szCs w:val="24"/>
          <w:highlight w:val="none"/>
        </w:rPr>
      </w:pPr>
      <w:r>
        <w:rPr>
          <w:rFonts w:ascii="仿宋" w:hAnsi="仿宋" w:eastAsia="仿宋" w:cs="Times New Roman"/>
          <w:b/>
          <w:color w:val="auto"/>
          <w:sz w:val="24"/>
          <w:szCs w:val="24"/>
          <w:highlight w:val="none"/>
        </w:rPr>
        <w:br w:type="page"/>
      </w:r>
    </w:p>
    <w:p w14:paraId="66406BDC">
      <w:pPr>
        <w:autoSpaceDE w:val="0"/>
        <w:autoSpaceDN w:val="0"/>
        <w:adjustRightInd w:val="0"/>
        <w:spacing w:line="560" w:lineRule="exact"/>
        <w:jc w:val="center"/>
        <w:rPr>
          <w:rFonts w:ascii="仿宋" w:hAnsi="仿宋" w:eastAsia="仿宋" w:cs="Times New Roman"/>
          <w:b/>
          <w:color w:val="auto"/>
          <w:sz w:val="24"/>
          <w:szCs w:val="24"/>
          <w:highlight w:val="none"/>
        </w:rPr>
      </w:pPr>
      <w:bookmarkStart w:id="243" w:name="_Toc331685784"/>
      <w:r>
        <w:rPr>
          <w:rFonts w:hint="eastAsia" w:ascii="仿宋" w:hAnsi="仿宋" w:eastAsia="仿宋" w:cs="Times New Roman"/>
          <w:b/>
          <w:color w:val="auto"/>
          <w:sz w:val="24"/>
          <w:szCs w:val="24"/>
          <w:highlight w:val="none"/>
        </w:rPr>
        <w:t>第三部分  合同专用条款</w:t>
      </w:r>
      <w:bookmarkEnd w:id="243"/>
    </w:p>
    <w:p w14:paraId="3FF54B67">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本部分</w:t>
      </w:r>
      <w:r>
        <w:rPr>
          <w:rFonts w:ascii="仿宋" w:hAnsi="仿宋" w:eastAsia="仿宋" w:cs="Times New Roman"/>
          <w:color w:val="auto"/>
          <w:sz w:val="24"/>
          <w:szCs w:val="24"/>
          <w:highlight w:val="none"/>
        </w:rPr>
        <w:t>是对</w:t>
      </w:r>
      <w:r>
        <w:rPr>
          <w:rFonts w:hint="eastAsia" w:ascii="仿宋" w:hAnsi="仿宋" w:eastAsia="仿宋" w:cs="Times New Roman"/>
          <w:color w:val="auto"/>
          <w:sz w:val="24"/>
          <w:szCs w:val="24"/>
          <w:highlight w:val="none"/>
        </w:rPr>
        <w:t>前两</w:t>
      </w:r>
      <w:r>
        <w:rPr>
          <w:rFonts w:ascii="仿宋" w:hAnsi="仿宋" w:eastAsia="仿宋" w:cs="Times New Roman"/>
          <w:color w:val="auto"/>
          <w:sz w:val="24"/>
          <w:szCs w:val="24"/>
          <w:highlight w:val="none"/>
        </w:rPr>
        <w:t>部分的补充和修改</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如果</w:t>
      </w:r>
      <w:r>
        <w:rPr>
          <w:rFonts w:hint="eastAsia" w:ascii="仿宋" w:hAnsi="仿宋" w:eastAsia="仿宋" w:cs="Times New Roman"/>
          <w:color w:val="auto"/>
          <w:sz w:val="24"/>
          <w:szCs w:val="24"/>
          <w:highlight w:val="none"/>
        </w:rPr>
        <w:t>前两</w:t>
      </w:r>
      <w:r>
        <w:rPr>
          <w:rFonts w:ascii="仿宋" w:hAnsi="仿宋" w:eastAsia="仿宋" w:cs="Times New Roman"/>
          <w:color w:val="auto"/>
          <w:sz w:val="24"/>
          <w:szCs w:val="24"/>
          <w:highlight w:val="none"/>
        </w:rPr>
        <w:t>部分和本部分的约定不一致</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应以本部分的约定为准</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本部分的条款号应与</w:t>
      </w:r>
      <w:r>
        <w:rPr>
          <w:rFonts w:hint="eastAsia" w:ascii="仿宋" w:hAnsi="仿宋" w:eastAsia="仿宋" w:cs="Times New Roman"/>
          <w:color w:val="auto"/>
          <w:sz w:val="24"/>
          <w:szCs w:val="24"/>
          <w:highlight w:val="none"/>
        </w:rPr>
        <w:t>前两部分</w:t>
      </w:r>
      <w:r>
        <w:rPr>
          <w:rFonts w:ascii="仿宋" w:hAnsi="仿宋" w:eastAsia="仿宋" w:cs="Times New Roman"/>
          <w:color w:val="auto"/>
          <w:sz w:val="24"/>
          <w:szCs w:val="24"/>
          <w:highlight w:val="none"/>
        </w:rPr>
        <w:t>的条款号保持对应</w:t>
      </w:r>
      <w:r>
        <w:rPr>
          <w:rFonts w:hint="eastAsia" w:ascii="仿宋" w:hAnsi="仿宋" w:eastAsia="仿宋" w:cs="Times New Roman"/>
          <w:color w:val="auto"/>
          <w:sz w:val="24"/>
          <w:szCs w:val="24"/>
          <w:highlight w:val="none"/>
        </w:rPr>
        <w:t>；与前两部分</w:t>
      </w:r>
      <w:r>
        <w:rPr>
          <w:rFonts w:ascii="仿宋" w:hAnsi="仿宋" w:eastAsia="仿宋" w:cs="Times New Roman"/>
          <w:color w:val="auto"/>
          <w:sz w:val="24"/>
          <w:szCs w:val="24"/>
          <w:highlight w:val="none"/>
        </w:rPr>
        <w:t>无对应关系的内容可另行编制条款号</w:t>
      </w:r>
      <w:r>
        <w:rPr>
          <w:rFonts w:hint="eastAsia" w:ascii="仿宋" w:hAnsi="仿宋" w:eastAsia="仿宋" w:cs="Times New Roman"/>
          <w:color w:val="auto"/>
          <w:sz w:val="24"/>
          <w:szCs w:val="24"/>
          <w:highlight w:val="none"/>
        </w:rPr>
        <w:t>。</w:t>
      </w:r>
    </w:p>
    <w:tbl>
      <w:tblPr>
        <w:tblStyle w:val="1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01DCD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14:paraId="508A3C94">
            <w:pPr>
              <w:spacing w:line="560" w:lineRule="exact"/>
              <w:jc w:val="center"/>
              <w:rPr>
                <w:rFonts w:ascii="仿宋" w:hAnsi="仿宋" w:eastAsia="仿宋" w:cs="Times New Roman"/>
                <w:b/>
                <w:color w:val="auto"/>
                <w:sz w:val="24"/>
                <w:szCs w:val="24"/>
                <w:highlight w:val="none"/>
              </w:rPr>
            </w:pPr>
            <w:r>
              <w:rPr>
                <w:rFonts w:ascii="仿宋" w:hAnsi="仿宋" w:eastAsia="仿宋" w:cs="Times New Roman"/>
                <w:b/>
                <w:color w:val="auto"/>
                <w:sz w:val="24"/>
                <w:szCs w:val="24"/>
                <w:highlight w:val="none"/>
              </w:rPr>
              <w:t>条款号</w:t>
            </w:r>
          </w:p>
        </w:tc>
        <w:tc>
          <w:tcPr>
            <w:tcW w:w="7633" w:type="dxa"/>
            <w:vAlign w:val="center"/>
          </w:tcPr>
          <w:p w14:paraId="37A62015">
            <w:pPr>
              <w:spacing w:line="560" w:lineRule="exact"/>
              <w:jc w:val="center"/>
              <w:rPr>
                <w:rFonts w:ascii="仿宋" w:hAnsi="仿宋" w:eastAsia="仿宋" w:cs="Times New Roman"/>
                <w:b/>
                <w:color w:val="auto"/>
                <w:sz w:val="24"/>
                <w:szCs w:val="24"/>
                <w:highlight w:val="none"/>
              </w:rPr>
            </w:pPr>
            <w:r>
              <w:rPr>
                <w:rFonts w:ascii="仿宋" w:hAnsi="仿宋" w:eastAsia="仿宋" w:cs="Times New Roman"/>
                <w:b/>
                <w:color w:val="auto"/>
                <w:sz w:val="24"/>
                <w:szCs w:val="24"/>
                <w:highlight w:val="none"/>
              </w:rPr>
              <w:t>约定内容</w:t>
            </w:r>
          </w:p>
        </w:tc>
      </w:tr>
      <w:tr w14:paraId="5E3B3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14:paraId="146434CB">
            <w:pPr>
              <w:spacing w:line="560" w:lineRule="exact"/>
              <w:rPr>
                <w:rFonts w:ascii="仿宋" w:hAnsi="仿宋" w:eastAsia="仿宋" w:cs="Times New Roman"/>
                <w:color w:val="auto"/>
                <w:sz w:val="24"/>
                <w:szCs w:val="24"/>
                <w:highlight w:val="none"/>
              </w:rPr>
            </w:pPr>
          </w:p>
        </w:tc>
        <w:tc>
          <w:tcPr>
            <w:tcW w:w="7633" w:type="dxa"/>
            <w:vAlign w:val="center"/>
          </w:tcPr>
          <w:p w14:paraId="05AB7B01">
            <w:pPr>
              <w:spacing w:line="560" w:lineRule="exact"/>
              <w:rPr>
                <w:rFonts w:ascii="仿宋" w:hAnsi="仿宋" w:eastAsia="仿宋" w:cs="Times New Roman"/>
                <w:color w:val="auto"/>
                <w:sz w:val="24"/>
                <w:szCs w:val="24"/>
                <w:highlight w:val="none"/>
              </w:rPr>
            </w:pPr>
          </w:p>
        </w:tc>
      </w:tr>
      <w:tr w14:paraId="0D5EF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006CFAA7">
            <w:pPr>
              <w:spacing w:line="560" w:lineRule="exact"/>
              <w:rPr>
                <w:rFonts w:ascii="仿宋" w:hAnsi="仿宋" w:eastAsia="仿宋" w:cs="Times New Roman"/>
                <w:color w:val="auto"/>
                <w:sz w:val="24"/>
                <w:szCs w:val="24"/>
                <w:highlight w:val="none"/>
              </w:rPr>
            </w:pPr>
          </w:p>
        </w:tc>
        <w:tc>
          <w:tcPr>
            <w:tcW w:w="7633" w:type="dxa"/>
            <w:vAlign w:val="center"/>
          </w:tcPr>
          <w:p w14:paraId="0C4E4219">
            <w:pPr>
              <w:spacing w:line="560" w:lineRule="exact"/>
              <w:rPr>
                <w:rFonts w:ascii="仿宋" w:hAnsi="仿宋" w:eastAsia="仿宋" w:cs="Times New Roman"/>
                <w:color w:val="auto"/>
                <w:sz w:val="24"/>
                <w:szCs w:val="24"/>
                <w:highlight w:val="none"/>
              </w:rPr>
            </w:pPr>
          </w:p>
        </w:tc>
      </w:tr>
      <w:tr w14:paraId="22F94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61308CB2">
            <w:pPr>
              <w:spacing w:line="560" w:lineRule="exact"/>
              <w:rPr>
                <w:rFonts w:ascii="仿宋" w:hAnsi="仿宋" w:eastAsia="仿宋" w:cs="Times New Roman"/>
                <w:color w:val="auto"/>
                <w:sz w:val="24"/>
                <w:szCs w:val="24"/>
                <w:highlight w:val="none"/>
              </w:rPr>
            </w:pPr>
          </w:p>
        </w:tc>
        <w:tc>
          <w:tcPr>
            <w:tcW w:w="7633" w:type="dxa"/>
            <w:vAlign w:val="center"/>
          </w:tcPr>
          <w:p w14:paraId="24615CD5">
            <w:pPr>
              <w:spacing w:line="560" w:lineRule="exact"/>
              <w:rPr>
                <w:rFonts w:ascii="仿宋" w:hAnsi="仿宋" w:eastAsia="仿宋" w:cs="Times New Roman"/>
                <w:color w:val="auto"/>
                <w:sz w:val="24"/>
                <w:szCs w:val="24"/>
                <w:highlight w:val="none"/>
              </w:rPr>
            </w:pPr>
          </w:p>
        </w:tc>
      </w:tr>
      <w:tr w14:paraId="0AF34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7A200671">
            <w:pPr>
              <w:spacing w:line="560" w:lineRule="exact"/>
              <w:rPr>
                <w:rFonts w:ascii="仿宋" w:hAnsi="仿宋" w:eastAsia="仿宋" w:cs="Times New Roman"/>
                <w:color w:val="auto"/>
                <w:sz w:val="24"/>
                <w:szCs w:val="24"/>
                <w:highlight w:val="none"/>
              </w:rPr>
            </w:pPr>
          </w:p>
        </w:tc>
        <w:tc>
          <w:tcPr>
            <w:tcW w:w="7633" w:type="dxa"/>
            <w:vAlign w:val="center"/>
          </w:tcPr>
          <w:p w14:paraId="59C95CF8">
            <w:pPr>
              <w:spacing w:line="560" w:lineRule="exact"/>
              <w:rPr>
                <w:rFonts w:ascii="仿宋" w:hAnsi="仿宋" w:eastAsia="仿宋" w:cs="Times New Roman"/>
                <w:color w:val="auto"/>
                <w:sz w:val="24"/>
                <w:szCs w:val="24"/>
                <w:highlight w:val="none"/>
              </w:rPr>
            </w:pPr>
          </w:p>
        </w:tc>
      </w:tr>
      <w:tr w14:paraId="17509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464A1B75">
            <w:pPr>
              <w:spacing w:line="560" w:lineRule="exact"/>
              <w:rPr>
                <w:rFonts w:ascii="仿宋" w:hAnsi="仿宋" w:eastAsia="仿宋" w:cs="Times New Roman"/>
                <w:color w:val="auto"/>
                <w:sz w:val="24"/>
                <w:szCs w:val="24"/>
                <w:highlight w:val="none"/>
              </w:rPr>
            </w:pPr>
          </w:p>
        </w:tc>
        <w:tc>
          <w:tcPr>
            <w:tcW w:w="7633" w:type="dxa"/>
            <w:vAlign w:val="center"/>
          </w:tcPr>
          <w:p w14:paraId="031CB458">
            <w:pPr>
              <w:spacing w:line="560" w:lineRule="exact"/>
              <w:rPr>
                <w:rFonts w:ascii="仿宋" w:hAnsi="仿宋" w:eastAsia="仿宋" w:cs="Times New Roman"/>
                <w:color w:val="auto"/>
                <w:sz w:val="24"/>
                <w:szCs w:val="24"/>
                <w:highlight w:val="none"/>
                <w:u w:val="single"/>
              </w:rPr>
            </w:pPr>
          </w:p>
        </w:tc>
      </w:tr>
      <w:tr w14:paraId="6E68F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7A0BA8A5">
            <w:pPr>
              <w:spacing w:line="560" w:lineRule="exact"/>
              <w:rPr>
                <w:rFonts w:ascii="仿宋" w:hAnsi="仿宋" w:eastAsia="仿宋" w:cs="Times New Roman"/>
                <w:color w:val="auto"/>
                <w:sz w:val="24"/>
                <w:szCs w:val="24"/>
                <w:highlight w:val="none"/>
              </w:rPr>
            </w:pPr>
          </w:p>
        </w:tc>
        <w:tc>
          <w:tcPr>
            <w:tcW w:w="7633" w:type="dxa"/>
            <w:vAlign w:val="center"/>
          </w:tcPr>
          <w:p w14:paraId="0FBC7A8B">
            <w:pPr>
              <w:spacing w:line="560" w:lineRule="exact"/>
              <w:rPr>
                <w:rFonts w:ascii="仿宋" w:hAnsi="仿宋" w:eastAsia="仿宋" w:cs="Times New Roman"/>
                <w:color w:val="auto"/>
                <w:sz w:val="24"/>
                <w:szCs w:val="24"/>
                <w:highlight w:val="none"/>
              </w:rPr>
            </w:pPr>
          </w:p>
        </w:tc>
      </w:tr>
      <w:tr w14:paraId="54927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11D777F0">
            <w:pPr>
              <w:spacing w:line="560" w:lineRule="exact"/>
              <w:rPr>
                <w:rFonts w:ascii="仿宋" w:hAnsi="仿宋" w:eastAsia="仿宋" w:cs="Times New Roman"/>
                <w:color w:val="auto"/>
                <w:sz w:val="24"/>
                <w:szCs w:val="24"/>
                <w:highlight w:val="none"/>
              </w:rPr>
            </w:pPr>
          </w:p>
        </w:tc>
        <w:tc>
          <w:tcPr>
            <w:tcW w:w="7633" w:type="dxa"/>
            <w:vAlign w:val="center"/>
          </w:tcPr>
          <w:p w14:paraId="68D3BCBE">
            <w:pPr>
              <w:spacing w:line="560" w:lineRule="exact"/>
              <w:rPr>
                <w:rFonts w:ascii="仿宋" w:hAnsi="仿宋" w:eastAsia="仿宋" w:cs="Times New Roman"/>
                <w:color w:val="auto"/>
                <w:sz w:val="24"/>
                <w:szCs w:val="24"/>
                <w:highlight w:val="none"/>
                <w:u w:val="single"/>
              </w:rPr>
            </w:pPr>
          </w:p>
        </w:tc>
      </w:tr>
      <w:tr w14:paraId="13035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5798530D">
            <w:pPr>
              <w:spacing w:line="560" w:lineRule="exact"/>
              <w:rPr>
                <w:rFonts w:ascii="仿宋" w:hAnsi="仿宋" w:eastAsia="仿宋" w:cs="Times New Roman"/>
                <w:color w:val="auto"/>
                <w:sz w:val="24"/>
                <w:szCs w:val="24"/>
                <w:highlight w:val="none"/>
              </w:rPr>
            </w:pPr>
          </w:p>
        </w:tc>
        <w:tc>
          <w:tcPr>
            <w:tcW w:w="7633" w:type="dxa"/>
            <w:vAlign w:val="center"/>
          </w:tcPr>
          <w:p w14:paraId="5EAEA3E5">
            <w:pPr>
              <w:spacing w:line="560" w:lineRule="exact"/>
              <w:rPr>
                <w:rFonts w:ascii="仿宋" w:hAnsi="仿宋" w:eastAsia="仿宋" w:cs="Times New Roman"/>
                <w:color w:val="auto"/>
                <w:sz w:val="24"/>
                <w:szCs w:val="24"/>
                <w:highlight w:val="none"/>
              </w:rPr>
            </w:pPr>
          </w:p>
        </w:tc>
      </w:tr>
      <w:tr w14:paraId="1ACAA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791533C9">
            <w:pPr>
              <w:spacing w:line="560" w:lineRule="exact"/>
              <w:rPr>
                <w:rFonts w:ascii="仿宋" w:hAnsi="仿宋" w:eastAsia="仿宋" w:cs="Times New Roman"/>
                <w:color w:val="auto"/>
                <w:sz w:val="24"/>
                <w:szCs w:val="24"/>
                <w:highlight w:val="none"/>
              </w:rPr>
            </w:pPr>
          </w:p>
        </w:tc>
        <w:tc>
          <w:tcPr>
            <w:tcW w:w="7633" w:type="dxa"/>
            <w:vAlign w:val="center"/>
          </w:tcPr>
          <w:p w14:paraId="1EEAADDD">
            <w:pPr>
              <w:spacing w:line="560" w:lineRule="exact"/>
              <w:rPr>
                <w:rFonts w:ascii="仿宋" w:hAnsi="仿宋" w:eastAsia="仿宋" w:cs="Times New Roman"/>
                <w:color w:val="auto"/>
                <w:sz w:val="24"/>
                <w:szCs w:val="24"/>
                <w:highlight w:val="none"/>
              </w:rPr>
            </w:pPr>
          </w:p>
        </w:tc>
      </w:tr>
      <w:tr w14:paraId="16D70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4211E5CD">
            <w:pPr>
              <w:spacing w:line="560" w:lineRule="exact"/>
              <w:rPr>
                <w:rFonts w:ascii="仿宋" w:hAnsi="仿宋" w:eastAsia="仿宋" w:cs="Times New Roman"/>
                <w:color w:val="auto"/>
                <w:sz w:val="24"/>
                <w:szCs w:val="24"/>
                <w:highlight w:val="none"/>
              </w:rPr>
            </w:pPr>
          </w:p>
        </w:tc>
        <w:tc>
          <w:tcPr>
            <w:tcW w:w="7633" w:type="dxa"/>
            <w:vAlign w:val="center"/>
          </w:tcPr>
          <w:p w14:paraId="0228CFFA">
            <w:pPr>
              <w:spacing w:line="560" w:lineRule="exact"/>
              <w:rPr>
                <w:rFonts w:ascii="仿宋" w:hAnsi="仿宋" w:eastAsia="仿宋" w:cs="Times New Roman"/>
                <w:color w:val="auto"/>
                <w:sz w:val="24"/>
                <w:szCs w:val="24"/>
                <w:highlight w:val="none"/>
              </w:rPr>
            </w:pPr>
          </w:p>
        </w:tc>
      </w:tr>
      <w:tr w14:paraId="0699D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14:paraId="04BBFA56">
            <w:pPr>
              <w:spacing w:line="560" w:lineRule="exact"/>
              <w:rPr>
                <w:rFonts w:ascii="仿宋" w:hAnsi="仿宋" w:eastAsia="仿宋" w:cs="Times New Roman"/>
                <w:color w:val="auto"/>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14:paraId="3A995247">
            <w:pPr>
              <w:spacing w:line="560" w:lineRule="exact"/>
              <w:rPr>
                <w:rFonts w:ascii="仿宋" w:hAnsi="仿宋" w:eastAsia="仿宋" w:cs="Times New Roman"/>
                <w:color w:val="auto"/>
                <w:sz w:val="24"/>
                <w:szCs w:val="24"/>
                <w:highlight w:val="none"/>
              </w:rPr>
            </w:pPr>
          </w:p>
        </w:tc>
      </w:tr>
      <w:tr w14:paraId="72182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14:paraId="06D5AC68">
            <w:pPr>
              <w:spacing w:line="560" w:lineRule="exact"/>
              <w:rPr>
                <w:rFonts w:ascii="仿宋" w:hAnsi="仿宋" w:eastAsia="仿宋" w:cs="Times New Roman"/>
                <w:color w:val="auto"/>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14:paraId="0E3C9334">
            <w:pPr>
              <w:spacing w:line="560" w:lineRule="exact"/>
              <w:rPr>
                <w:rFonts w:ascii="仿宋" w:hAnsi="仿宋" w:eastAsia="仿宋" w:cs="Times New Roman"/>
                <w:color w:val="auto"/>
                <w:sz w:val="24"/>
                <w:szCs w:val="24"/>
                <w:highlight w:val="none"/>
              </w:rPr>
            </w:pPr>
          </w:p>
        </w:tc>
      </w:tr>
    </w:tbl>
    <w:p w14:paraId="059F943D">
      <w:pPr>
        <w:spacing w:line="560" w:lineRule="exact"/>
        <w:ind w:firstLine="482" w:firstLineChars="200"/>
        <w:rPr>
          <w:rFonts w:ascii="仿宋" w:hAnsi="仿宋" w:eastAsia="仿宋" w:cs="Times New Roman"/>
          <w:b/>
          <w:color w:val="auto"/>
          <w:sz w:val="24"/>
          <w:szCs w:val="24"/>
          <w:highlight w:val="none"/>
        </w:rPr>
      </w:pPr>
    </w:p>
    <w:p w14:paraId="2C19C174">
      <w:pPr>
        <w:ind w:firstLine="840" w:firstLineChars="400"/>
        <w:rPr>
          <w:color w:val="auto"/>
          <w:highlight w:val="none"/>
        </w:rPr>
      </w:pPr>
    </w:p>
    <w:p w14:paraId="01E773F7">
      <w:pPr>
        <w:widowControl/>
        <w:jc w:val="left"/>
        <w:rPr>
          <w:rFonts w:ascii="仿宋" w:hAnsi="仿宋" w:eastAsia="仿宋"/>
          <w:b/>
          <w:bCs/>
          <w:color w:val="auto"/>
          <w:kern w:val="44"/>
          <w:sz w:val="32"/>
          <w:szCs w:val="32"/>
          <w:highlight w:val="none"/>
        </w:rPr>
      </w:pPr>
      <w:r>
        <w:rPr>
          <w:rFonts w:ascii="仿宋" w:hAnsi="仿宋" w:eastAsia="仿宋"/>
          <w:color w:val="auto"/>
          <w:sz w:val="32"/>
          <w:szCs w:val="32"/>
          <w:highlight w:val="none"/>
        </w:rPr>
        <w:br w:type="page"/>
      </w:r>
    </w:p>
    <w:p w14:paraId="5C686BE8">
      <w:pPr>
        <w:pStyle w:val="2"/>
        <w:spacing w:before="159" w:beforeLines="50" w:after="159" w:afterLines="50"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第六部分 响应文件组成</w:t>
      </w:r>
    </w:p>
    <w:p w14:paraId="2D3C689E">
      <w:pPr>
        <w:widowControl/>
        <w:shd w:val="clear" w:color="auto" w:fill="FFFFFF"/>
        <w:spacing w:line="360" w:lineRule="auto"/>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供应商投标文件材料（一正二副，密封并牢固装订）</w:t>
      </w:r>
    </w:p>
    <w:p w14:paraId="09D78767">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rPr>
        <w:t>投标人符合《政府采购法》第二十二条规定条件的承诺函</w:t>
      </w:r>
      <w:r>
        <w:rPr>
          <w:rFonts w:ascii="仿宋" w:hAnsi="仿宋" w:eastAsia="仿宋" w:cs="仿宋"/>
          <w:bCs/>
          <w:color w:val="auto"/>
          <w:sz w:val="24"/>
          <w:szCs w:val="24"/>
          <w:highlight w:val="none"/>
        </w:rPr>
        <w:t>；（格式见附件1）</w:t>
      </w:r>
    </w:p>
    <w:p w14:paraId="0E2619B0">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ascii="仿宋" w:hAnsi="仿宋" w:eastAsia="仿宋" w:cs="仿宋"/>
          <w:bCs/>
          <w:color w:val="auto"/>
          <w:sz w:val="24"/>
          <w:szCs w:val="24"/>
          <w:highlight w:val="none"/>
        </w:rPr>
        <w:t>.法定代表人身份证明书；（格式见附件2）</w:t>
      </w:r>
    </w:p>
    <w:p w14:paraId="04B39E2D">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ascii="仿宋" w:hAnsi="仿宋" w:eastAsia="仿宋" w:cs="仿宋"/>
          <w:bCs/>
          <w:color w:val="auto"/>
          <w:sz w:val="24"/>
          <w:szCs w:val="24"/>
          <w:highlight w:val="none"/>
        </w:rPr>
        <w:t>.法定代表人授权委托书原件，</w:t>
      </w:r>
      <w:r>
        <w:rPr>
          <w:rFonts w:hint="eastAsia" w:ascii="仿宋" w:hAnsi="仿宋" w:eastAsia="仿宋" w:cs="仿宋"/>
          <w:bCs/>
          <w:color w:val="auto"/>
          <w:sz w:val="24"/>
          <w:szCs w:val="24"/>
          <w:highlight w:val="none"/>
        </w:rPr>
        <w:t>授权</w:t>
      </w:r>
      <w:r>
        <w:rPr>
          <w:rFonts w:ascii="仿宋" w:hAnsi="仿宋" w:eastAsia="仿宋" w:cs="仿宋"/>
          <w:bCs/>
          <w:color w:val="auto"/>
          <w:sz w:val="24"/>
          <w:szCs w:val="24"/>
          <w:highlight w:val="none"/>
        </w:rPr>
        <w:t>代表本人身份证复印件；（格式见附件3）</w:t>
      </w:r>
    </w:p>
    <w:p w14:paraId="662DDD89">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rPr>
        <w:t>供应商营业执照复印件；</w:t>
      </w:r>
    </w:p>
    <w:p w14:paraId="434BF12B">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rPr>
        <w:t>供应商未被“信用中国”网站（www.creditchina.gov.cn）列入失信被执行人、重大税收违法案件当事人名单、政府采购严重失信行为记录名单（提供网页查询截图）；</w:t>
      </w:r>
    </w:p>
    <w:p w14:paraId="0778B910">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6.</w:t>
      </w:r>
      <w:r>
        <w:rPr>
          <w:rFonts w:hint="eastAsia" w:ascii="仿宋" w:hAnsi="仿宋" w:eastAsia="仿宋" w:cs="仿宋"/>
          <w:bCs/>
          <w:color w:val="auto"/>
          <w:sz w:val="24"/>
          <w:szCs w:val="24"/>
          <w:highlight w:val="none"/>
        </w:rPr>
        <w:t>供应商信用承诺书；</w:t>
      </w:r>
      <w:r>
        <w:rPr>
          <w:rFonts w:ascii="仿宋" w:hAnsi="仿宋" w:eastAsia="仿宋" w:cs="仿宋"/>
          <w:bCs/>
          <w:color w:val="auto"/>
          <w:sz w:val="24"/>
          <w:szCs w:val="24"/>
          <w:highlight w:val="none"/>
        </w:rPr>
        <w:t>（格式见附件</w:t>
      </w:r>
      <w:r>
        <w:rPr>
          <w:rFonts w:hint="eastAsia" w:ascii="仿宋" w:hAnsi="仿宋" w:eastAsia="仿宋" w:cs="仿宋"/>
          <w:bCs/>
          <w:color w:val="auto"/>
          <w:sz w:val="24"/>
          <w:szCs w:val="24"/>
          <w:highlight w:val="none"/>
        </w:rPr>
        <w:t>1</w:t>
      </w:r>
      <w:r>
        <w:rPr>
          <w:rFonts w:ascii="仿宋" w:hAnsi="仿宋" w:eastAsia="仿宋" w:cs="仿宋"/>
          <w:bCs/>
          <w:color w:val="auto"/>
          <w:sz w:val="24"/>
          <w:szCs w:val="24"/>
          <w:highlight w:val="none"/>
        </w:rPr>
        <w:t>2）</w:t>
      </w:r>
    </w:p>
    <w:p w14:paraId="4E36754C">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7.询价公告资格要求提供相应的佐证材料；</w:t>
      </w:r>
    </w:p>
    <w:p w14:paraId="56283A1D">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8.供应商情况一览表；（格式见附件4）</w:t>
      </w:r>
    </w:p>
    <w:p w14:paraId="3C5D3578">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9.商务部分正负偏离表；（格式见附件5）</w:t>
      </w:r>
    </w:p>
    <w:p w14:paraId="0994A819">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10.技术部分正负偏离表；（格式见附件6）</w:t>
      </w:r>
    </w:p>
    <w:p w14:paraId="154421AF">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11.响应方案、货物（服务）清单。具有项目、数量、品牌、型号、配置性能等；</w:t>
      </w:r>
    </w:p>
    <w:p w14:paraId="7BD6A340">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12.供应商认为需要提交的其他商务技术材料。</w:t>
      </w:r>
    </w:p>
    <w:p w14:paraId="73D6A8F2">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13.报价总表；（格式见附件7）</w:t>
      </w:r>
    </w:p>
    <w:p w14:paraId="308407C8">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14.分项报价明细表</w:t>
      </w:r>
      <w:r>
        <w:rPr>
          <w:rFonts w:hint="eastAsia" w:ascii="仿宋" w:hAnsi="仿宋" w:eastAsia="仿宋" w:cs="仿宋"/>
          <w:bCs/>
          <w:color w:val="auto"/>
          <w:sz w:val="24"/>
          <w:szCs w:val="24"/>
          <w:highlight w:val="none"/>
        </w:rPr>
        <w:t>；</w:t>
      </w:r>
      <w:r>
        <w:rPr>
          <w:rFonts w:ascii="仿宋" w:hAnsi="仿宋" w:eastAsia="仿宋" w:cs="仿宋"/>
          <w:bCs/>
          <w:color w:val="auto"/>
          <w:sz w:val="24"/>
          <w:szCs w:val="24"/>
          <w:highlight w:val="none"/>
        </w:rPr>
        <w:t>（格式见附件8）</w:t>
      </w:r>
    </w:p>
    <w:p w14:paraId="5BC97B42">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15.中小企业声明函</w:t>
      </w:r>
      <w:r>
        <w:rPr>
          <w:rFonts w:hint="eastAsia" w:ascii="仿宋" w:hAnsi="仿宋" w:eastAsia="仿宋" w:cs="仿宋"/>
          <w:bCs/>
          <w:color w:val="auto"/>
          <w:sz w:val="24"/>
          <w:szCs w:val="24"/>
          <w:highlight w:val="none"/>
        </w:rPr>
        <w:t>；</w:t>
      </w:r>
      <w:r>
        <w:rPr>
          <w:rFonts w:ascii="仿宋" w:hAnsi="仿宋" w:eastAsia="仿宋" w:cs="仿宋"/>
          <w:bCs/>
          <w:color w:val="auto"/>
          <w:sz w:val="24"/>
          <w:szCs w:val="24"/>
          <w:highlight w:val="none"/>
        </w:rPr>
        <w:t>（格式见附件9）</w:t>
      </w:r>
    </w:p>
    <w:p w14:paraId="68F13941">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16.残疾人福利性单位声明函</w:t>
      </w:r>
      <w:r>
        <w:rPr>
          <w:rFonts w:hint="eastAsia" w:ascii="仿宋" w:hAnsi="仿宋" w:eastAsia="仿宋" w:cs="仿宋"/>
          <w:bCs/>
          <w:color w:val="auto"/>
          <w:sz w:val="24"/>
          <w:szCs w:val="24"/>
          <w:highlight w:val="none"/>
        </w:rPr>
        <w:t>；</w:t>
      </w:r>
      <w:r>
        <w:rPr>
          <w:rFonts w:ascii="仿宋" w:hAnsi="仿宋" w:eastAsia="仿宋" w:cs="仿宋"/>
          <w:bCs/>
          <w:color w:val="auto"/>
          <w:sz w:val="24"/>
          <w:szCs w:val="24"/>
          <w:highlight w:val="none"/>
        </w:rPr>
        <w:t>（格式见附件10）</w:t>
      </w:r>
    </w:p>
    <w:p w14:paraId="636BEB39">
      <w:pPr>
        <w:widowControl/>
        <w:shd w:val="clear" w:color="auto" w:fill="FFFFFF"/>
        <w:spacing w:line="360" w:lineRule="auto"/>
        <w:ind w:firstLine="480" w:firstLineChars="200"/>
        <w:jc w:val="left"/>
        <w:rPr>
          <w:rFonts w:ascii="仿宋" w:hAnsi="仿宋" w:eastAsia="仿宋" w:cs="Times New Roman"/>
          <w:color w:val="auto"/>
          <w:kern w:val="0"/>
          <w:sz w:val="28"/>
          <w:szCs w:val="28"/>
          <w:highlight w:val="none"/>
          <w:lang w:val="zh-CN"/>
        </w:rPr>
      </w:pPr>
      <w:r>
        <w:rPr>
          <w:rFonts w:ascii="仿宋" w:hAnsi="仿宋" w:eastAsia="仿宋" w:cs="仿宋"/>
          <w:bCs/>
          <w:color w:val="auto"/>
          <w:sz w:val="24"/>
          <w:szCs w:val="24"/>
          <w:highlight w:val="none"/>
        </w:rPr>
        <w:t>17.监狱和戒毒企业证明材料</w:t>
      </w:r>
      <w:r>
        <w:rPr>
          <w:rFonts w:hint="eastAsia" w:ascii="仿宋" w:hAnsi="仿宋" w:eastAsia="仿宋" w:cs="仿宋"/>
          <w:bCs/>
          <w:color w:val="auto"/>
          <w:sz w:val="24"/>
          <w:szCs w:val="24"/>
          <w:highlight w:val="none"/>
        </w:rPr>
        <w:t>。</w:t>
      </w:r>
      <w:r>
        <w:rPr>
          <w:rFonts w:ascii="仿宋" w:hAnsi="仿宋" w:eastAsia="仿宋" w:cs="仿宋"/>
          <w:bCs/>
          <w:color w:val="auto"/>
          <w:sz w:val="24"/>
          <w:szCs w:val="24"/>
          <w:highlight w:val="none"/>
        </w:rPr>
        <w:t>（格式见附件11）</w:t>
      </w:r>
      <w:r>
        <w:rPr>
          <w:rFonts w:ascii="仿宋" w:hAnsi="仿宋" w:eastAsia="仿宋" w:cs="Times New Roman"/>
          <w:color w:val="auto"/>
          <w:kern w:val="0"/>
          <w:sz w:val="28"/>
          <w:szCs w:val="28"/>
          <w:highlight w:val="none"/>
          <w:lang w:val="zh-CN"/>
        </w:rPr>
        <w:br w:type="page"/>
      </w:r>
    </w:p>
    <w:p w14:paraId="1DCC5267">
      <w:pPr>
        <w:snapToGrid w:val="0"/>
        <w:spacing w:line="360" w:lineRule="auto"/>
        <w:contextualSpacing/>
        <w:rPr>
          <w:rFonts w:ascii="仿宋" w:hAnsi="仿宋" w:eastAsia="仿宋" w:cs="Times New Roman"/>
          <w:color w:val="auto"/>
          <w:kern w:val="0"/>
          <w:sz w:val="24"/>
          <w:szCs w:val="24"/>
          <w:highlight w:val="none"/>
          <w:lang w:val="zh-CN"/>
        </w:rPr>
      </w:pPr>
      <w:r>
        <w:rPr>
          <w:rFonts w:ascii="仿宋" w:hAnsi="仿宋" w:eastAsia="仿宋" w:cs="Times New Roman"/>
          <w:color w:val="auto"/>
          <w:kern w:val="0"/>
          <w:sz w:val="24"/>
          <w:szCs w:val="24"/>
          <w:highlight w:val="none"/>
          <w:lang w:val="zh-CN"/>
        </w:rPr>
        <w:t>附件1</w:t>
      </w:r>
    </w:p>
    <w:p w14:paraId="2546EED5">
      <w:pPr>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投标人符合《政府采购法》第二十二条规定条件的声明函</w:t>
      </w:r>
    </w:p>
    <w:p w14:paraId="769EAD5C">
      <w:pPr>
        <w:spacing w:line="360" w:lineRule="auto"/>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 xml:space="preserve">                          </w:t>
      </w:r>
    </w:p>
    <w:p w14:paraId="7E77B56A">
      <w:pPr>
        <w:spacing w:line="360" w:lineRule="auto"/>
        <w:ind w:firstLine="480" w:firstLineChars="200"/>
        <w:rPr>
          <w:rFonts w:ascii="仿宋" w:hAnsi="仿宋" w:eastAsia="仿宋" w:cs="Times New Roman"/>
          <w:b/>
          <w:bCs/>
          <w:color w:val="auto"/>
          <w:sz w:val="24"/>
          <w:szCs w:val="24"/>
          <w:highlight w:val="none"/>
        </w:rPr>
      </w:pPr>
      <w:r>
        <w:rPr>
          <w:rFonts w:hint="eastAsia" w:ascii="仿宋" w:hAnsi="仿宋" w:eastAsia="仿宋" w:cs="Times New Roman"/>
          <w:bCs/>
          <w:color w:val="auto"/>
          <w:sz w:val="24"/>
          <w:szCs w:val="24"/>
          <w:highlight w:val="none"/>
        </w:rPr>
        <w:t>我单位参加</w:t>
      </w:r>
      <w:r>
        <w:rPr>
          <w:rFonts w:hint="eastAsia" w:ascii="仿宋" w:hAnsi="仿宋" w:eastAsia="仿宋" w:cs="Times New Roman"/>
          <w:bCs/>
          <w:color w:val="auto"/>
          <w:sz w:val="24"/>
          <w:szCs w:val="24"/>
          <w:highlight w:val="none"/>
          <w:u w:val="single"/>
        </w:rPr>
        <w:t>________________ _</w:t>
      </w:r>
      <w:r>
        <w:rPr>
          <w:rFonts w:hint="eastAsia" w:ascii="仿宋" w:hAnsi="仿宋" w:eastAsia="仿宋" w:cs="Times New Roman"/>
          <w:bCs/>
          <w:color w:val="auto"/>
          <w:sz w:val="24"/>
          <w:szCs w:val="24"/>
          <w:highlight w:val="none"/>
        </w:rPr>
        <w:t>（项目名称），</w:t>
      </w:r>
      <w:r>
        <w:rPr>
          <w:rFonts w:hint="eastAsia" w:ascii="仿宋" w:hAnsi="仿宋" w:eastAsia="仿宋" w:cs="Times New Roman"/>
          <w:bCs/>
          <w:color w:val="auto"/>
          <w:sz w:val="24"/>
          <w:szCs w:val="24"/>
          <w:highlight w:val="none"/>
          <w:u w:val="single"/>
        </w:rPr>
        <w:t>_______ __________</w:t>
      </w:r>
      <w:r>
        <w:rPr>
          <w:rFonts w:hint="eastAsia" w:ascii="仿宋" w:hAnsi="仿宋" w:eastAsia="仿宋" w:cs="Times New Roman"/>
          <w:bCs/>
          <w:color w:val="auto"/>
          <w:sz w:val="24"/>
          <w:szCs w:val="24"/>
          <w:highlight w:val="none"/>
        </w:rPr>
        <w:t>（项目编号）投标活动。针对《中华人民共和国政府采购法》第二十二条规定做出如下声明：</w:t>
      </w:r>
    </w:p>
    <w:p w14:paraId="6C9581EC">
      <w:pPr>
        <w:spacing w:line="360" w:lineRule="auto"/>
        <w:ind w:firstLine="482"/>
        <w:rPr>
          <w:rFonts w:ascii="仿宋" w:hAnsi="仿宋" w:eastAsia="仿宋" w:cs="Times New Roman"/>
          <w:color w:val="auto"/>
          <w:sz w:val="24"/>
          <w:szCs w:val="24"/>
          <w:highlight w:val="none"/>
        </w:rPr>
      </w:pPr>
      <w:r>
        <w:rPr>
          <w:rFonts w:hint="eastAsia" w:ascii="仿宋" w:hAnsi="仿宋" w:eastAsia="仿宋" w:cs="Times New Roman"/>
          <w:bCs/>
          <w:color w:val="auto"/>
          <w:sz w:val="24"/>
          <w:szCs w:val="24"/>
          <w:highlight w:val="none"/>
        </w:rPr>
        <w:t>1.我单位具有独立承担民事责任的能力；</w:t>
      </w:r>
    </w:p>
    <w:p w14:paraId="1E3C3437">
      <w:pPr>
        <w:spacing w:line="360" w:lineRule="auto"/>
        <w:ind w:firstLine="482"/>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2.我单位具有良好的商业信誉和健全的财务会计制度；</w:t>
      </w:r>
    </w:p>
    <w:p w14:paraId="2E95D754">
      <w:pPr>
        <w:spacing w:line="360" w:lineRule="auto"/>
        <w:ind w:firstLine="482"/>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3.我单位具有履行合同所必需的设备和专业技术能力；</w:t>
      </w:r>
    </w:p>
    <w:p w14:paraId="2EFECCBB">
      <w:pPr>
        <w:spacing w:line="360" w:lineRule="auto"/>
        <w:ind w:firstLine="482"/>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4.我单位有依法缴纳税收和社会保障资金的良好记录；</w:t>
      </w:r>
    </w:p>
    <w:p w14:paraId="7824C9EA">
      <w:pPr>
        <w:spacing w:line="360" w:lineRule="auto"/>
        <w:ind w:firstLine="482"/>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D18FD89">
      <w:pPr>
        <w:spacing w:line="360" w:lineRule="auto"/>
        <w:ind w:firstLine="482"/>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6.我单位满足法律、行政法规规定的其他条件。</w:t>
      </w:r>
    </w:p>
    <w:p w14:paraId="1A1963CB">
      <w:pPr>
        <w:spacing w:line="360" w:lineRule="auto"/>
        <w:rPr>
          <w:rFonts w:ascii="仿宋" w:hAnsi="仿宋" w:eastAsia="仿宋" w:cs="Times New Roman"/>
          <w:bCs/>
          <w:color w:val="auto"/>
          <w:sz w:val="24"/>
          <w:szCs w:val="24"/>
          <w:highlight w:val="none"/>
        </w:rPr>
      </w:pPr>
    </w:p>
    <w:p w14:paraId="3D9E28F7">
      <w:pPr>
        <w:spacing w:line="360" w:lineRule="auto"/>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承诺人名称（公章）：</w:t>
      </w:r>
    </w:p>
    <w:p w14:paraId="616B4204">
      <w:pPr>
        <w:spacing w:line="360" w:lineRule="auto"/>
        <w:ind w:right="1120"/>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日期：</w:t>
      </w:r>
      <w:r>
        <w:rPr>
          <w:rFonts w:hint="eastAsia" w:ascii="仿宋" w:hAnsi="仿宋" w:eastAsia="仿宋" w:cs="Times New Roman"/>
          <w:bCs/>
          <w:color w:val="auto"/>
          <w:sz w:val="24"/>
          <w:szCs w:val="24"/>
          <w:highlight w:val="none"/>
          <w:u w:val="single"/>
        </w:rPr>
        <w:t>______</w:t>
      </w:r>
      <w:r>
        <w:rPr>
          <w:rFonts w:hint="eastAsia" w:ascii="仿宋" w:hAnsi="仿宋" w:eastAsia="仿宋" w:cs="Times New Roman"/>
          <w:bCs/>
          <w:color w:val="auto"/>
          <w:sz w:val="24"/>
          <w:szCs w:val="24"/>
          <w:highlight w:val="none"/>
        </w:rPr>
        <w:t>年</w:t>
      </w:r>
      <w:r>
        <w:rPr>
          <w:rFonts w:hint="eastAsia" w:ascii="仿宋" w:hAnsi="仿宋" w:eastAsia="仿宋" w:cs="Times New Roman"/>
          <w:bCs/>
          <w:color w:val="auto"/>
          <w:sz w:val="24"/>
          <w:szCs w:val="24"/>
          <w:highlight w:val="none"/>
          <w:u w:val="single"/>
        </w:rPr>
        <w:t xml:space="preserve">    </w:t>
      </w:r>
      <w:r>
        <w:rPr>
          <w:rFonts w:hint="eastAsia" w:ascii="仿宋" w:hAnsi="仿宋" w:eastAsia="仿宋" w:cs="Times New Roman"/>
          <w:bCs/>
          <w:color w:val="auto"/>
          <w:sz w:val="24"/>
          <w:szCs w:val="24"/>
          <w:highlight w:val="none"/>
        </w:rPr>
        <w:t>月</w:t>
      </w:r>
      <w:r>
        <w:rPr>
          <w:rFonts w:hint="eastAsia" w:ascii="仿宋" w:hAnsi="仿宋" w:eastAsia="仿宋" w:cs="Times New Roman"/>
          <w:bCs/>
          <w:color w:val="auto"/>
          <w:sz w:val="24"/>
          <w:szCs w:val="24"/>
          <w:highlight w:val="none"/>
          <w:u w:val="single"/>
        </w:rPr>
        <w:t xml:space="preserve">    </w:t>
      </w:r>
      <w:r>
        <w:rPr>
          <w:rFonts w:hint="eastAsia" w:ascii="仿宋" w:hAnsi="仿宋" w:eastAsia="仿宋" w:cs="Times New Roman"/>
          <w:bCs/>
          <w:color w:val="auto"/>
          <w:sz w:val="24"/>
          <w:szCs w:val="24"/>
          <w:highlight w:val="none"/>
        </w:rPr>
        <w:t>日</w:t>
      </w:r>
    </w:p>
    <w:p w14:paraId="43E823F1">
      <w:pPr>
        <w:widowControl/>
        <w:spacing w:line="360" w:lineRule="auto"/>
        <w:jc w:val="left"/>
        <w:rPr>
          <w:rFonts w:ascii="仿宋" w:hAnsi="仿宋" w:eastAsia="仿宋" w:cs="Times New Roman"/>
          <w:color w:val="auto"/>
          <w:kern w:val="0"/>
          <w:sz w:val="24"/>
          <w:szCs w:val="24"/>
          <w:highlight w:val="none"/>
          <w:lang w:val="zh-CN"/>
        </w:rPr>
      </w:pPr>
      <w:r>
        <w:rPr>
          <w:rFonts w:ascii="仿宋" w:hAnsi="仿宋" w:eastAsia="仿宋" w:cs="Times New Roman"/>
          <w:color w:val="auto"/>
          <w:kern w:val="0"/>
          <w:sz w:val="24"/>
          <w:szCs w:val="24"/>
          <w:highlight w:val="none"/>
          <w:lang w:val="zh-CN"/>
        </w:rPr>
        <w:br w:type="page"/>
      </w:r>
    </w:p>
    <w:p w14:paraId="44229136">
      <w:pPr>
        <w:snapToGrid w:val="0"/>
        <w:spacing w:line="360" w:lineRule="auto"/>
        <w:contextualSpacing/>
        <w:rPr>
          <w:rFonts w:ascii="仿宋" w:hAnsi="仿宋" w:eastAsia="仿宋" w:cs="Times New Roman"/>
          <w:color w:val="auto"/>
          <w:kern w:val="0"/>
          <w:sz w:val="24"/>
          <w:szCs w:val="24"/>
          <w:highlight w:val="none"/>
          <w:lang w:val="zh-CN"/>
        </w:rPr>
      </w:pPr>
      <w:r>
        <w:rPr>
          <w:rFonts w:ascii="仿宋" w:hAnsi="仿宋" w:eastAsia="仿宋" w:cs="Times New Roman"/>
          <w:color w:val="auto"/>
          <w:kern w:val="0"/>
          <w:sz w:val="24"/>
          <w:szCs w:val="24"/>
          <w:highlight w:val="none"/>
          <w:lang w:val="zh-CN"/>
        </w:rPr>
        <w:t>附件2</w:t>
      </w:r>
    </w:p>
    <w:p w14:paraId="2B42D1F8">
      <w:pPr>
        <w:spacing w:line="360" w:lineRule="auto"/>
        <w:jc w:val="center"/>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法定代表人身份证明</w:t>
      </w:r>
    </w:p>
    <w:p w14:paraId="37A9E339">
      <w:pPr>
        <w:spacing w:line="360" w:lineRule="auto"/>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先生/女士：</w:t>
      </w:r>
      <w:r>
        <w:rPr>
          <w:rFonts w:ascii="仿宋" w:hAnsi="仿宋" w:eastAsia="仿宋" w:cs="Times New Roman"/>
          <w:color w:val="auto"/>
          <w:sz w:val="24"/>
          <w:szCs w:val="24"/>
          <w:highlight w:val="none"/>
        </w:rPr>
        <w:t xml:space="preserve"> </w:t>
      </w:r>
      <w:r>
        <w:rPr>
          <w:rFonts w:hint="eastAsia" w:ascii="仿宋" w:hAnsi="仿宋" w:eastAsia="仿宋" w:cs="Times New Roman"/>
          <w:color w:val="auto"/>
          <w:sz w:val="24"/>
          <w:szCs w:val="24"/>
          <w:highlight w:val="none"/>
        </w:rPr>
        <w:t>现任我单位</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职务，为法定代表人，特此证明。</w:t>
      </w:r>
    </w:p>
    <w:p w14:paraId="4CF4119E">
      <w:pPr>
        <w:spacing w:line="360" w:lineRule="auto"/>
        <w:ind w:firstLine="48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身份证号码：</w:t>
      </w:r>
      <w:r>
        <w:rPr>
          <w:rFonts w:ascii="仿宋" w:hAnsi="仿宋" w:eastAsia="仿宋" w:cs="Times New Roman"/>
          <w:color w:val="auto"/>
          <w:sz w:val="24"/>
          <w:szCs w:val="24"/>
          <w:highlight w:val="none"/>
          <w:u w:val="single"/>
        </w:rPr>
        <w:t xml:space="preserve">                              </w:t>
      </w:r>
    </w:p>
    <w:p w14:paraId="7A158336">
      <w:pPr>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注：提供法定代表人的身份证复印件盖公章</w:t>
      </w:r>
    </w:p>
    <w:p w14:paraId="67DB3E90">
      <w:pPr>
        <w:snapToGrid w:val="0"/>
        <w:spacing w:line="360" w:lineRule="auto"/>
        <w:contextualSpacing/>
        <w:rPr>
          <w:rFonts w:ascii="仿宋" w:hAnsi="仿宋" w:eastAsia="仿宋" w:cs="宋体"/>
          <w:b/>
          <w:color w:val="auto"/>
          <w:kern w:val="0"/>
          <w:sz w:val="24"/>
          <w:szCs w:val="24"/>
          <w:highlight w:val="none"/>
          <w:lang w:val="zh-CN"/>
        </w:rPr>
      </w:pPr>
    </w:p>
    <w:p w14:paraId="56E6BDDE">
      <w:pPr>
        <w:snapToGrid w:val="0"/>
        <w:spacing w:line="360" w:lineRule="auto"/>
        <w:contextualSpacing/>
        <w:rPr>
          <w:rFonts w:ascii="仿宋" w:hAnsi="仿宋" w:eastAsia="仿宋" w:cs="宋体"/>
          <w:b/>
          <w:color w:val="auto"/>
          <w:kern w:val="0"/>
          <w:sz w:val="24"/>
          <w:szCs w:val="24"/>
          <w:highlight w:val="none"/>
          <w:lang w:val="zh-CN"/>
        </w:rPr>
      </w:pPr>
    </w:p>
    <w:p w14:paraId="19C1D080">
      <w:pPr>
        <w:snapToGrid w:val="0"/>
        <w:spacing w:line="360" w:lineRule="auto"/>
        <w:contextualSpacing/>
        <w:rPr>
          <w:rFonts w:ascii="仿宋" w:hAnsi="仿宋" w:eastAsia="仿宋" w:cs="宋体"/>
          <w:b/>
          <w:color w:val="auto"/>
          <w:kern w:val="0"/>
          <w:sz w:val="24"/>
          <w:szCs w:val="24"/>
          <w:highlight w:val="none"/>
          <w:lang w:val="zh-CN"/>
        </w:rPr>
      </w:pPr>
    </w:p>
    <w:p w14:paraId="5CDFCDB3">
      <w:pPr>
        <w:snapToGrid w:val="0"/>
        <w:spacing w:line="360" w:lineRule="auto"/>
        <w:contextualSpacing/>
        <w:rPr>
          <w:rFonts w:ascii="仿宋" w:hAnsi="仿宋" w:eastAsia="仿宋" w:cs="Times New Roman"/>
          <w:color w:val="auto"/>
          <w:kern w:val="0"/>
          <w:sz w:val="24"/>
          <w:szCs w:val="24"/>
          <w:highlight w:val="none"/>
          <w:lang w:val="zh-CN"/>
        </w:rPr>
      </w:pPr>
      <w:r>
        <w:rPr>
          <w:rFonts w:ascii="仿宋" w:hAnsi="仿宋" w:eastAsia="仿宋" w:cs="Times New Roman"/>
          <w:color w:val="auto"/>
          <w:kern w:val="0"/>
          <w:sz w:val="24"/>
          <w:szCs w:val="24"/>
          <w:highlight w:val="none"/>
          <w:lang w:val="zh-CN"/>
        </w:rPr>
        <w:t>附件3</w:t>
      </w:r>
    </w:p>
    <w:p w14:paraId="6BE6585E">
      <w:pPr>
        <w:spacing w:line="360" w:lineRule="auto"/>
        <w:jc w:val="center"/>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法定代表人授权委托书</w:t>
      </w:r>
    </w:p>
    <w:p w14:paraId="670920F1">
      <w:pP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本人</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（姓名）系</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（授权单位名称）的法定代表人，现委托</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（姓名）（身份证号</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）为我方代理人，以我方名义全权处理与本次采购项目（编号：</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）有关的一切事务，其法律后果由我方承担。</w:t>
      </w:r>
    </w:p>
    <w:p w14:paraId="79AC258D">
      <w:pP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本授权书于</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年</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月</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日起生效。代理人无转委托权。</w:t>
      </w:r>
    </w:p>
    <w:p w14:paraId="5D63FBF8">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代理人(被授权人):</w:t>
      </w:r>
      <w:r>
        <w:rPr>
          <w:rFonts w:ascii="仿宋" w:hAnsi="仿宋" w:eastAsia="仿宋" w:cs="Times New Roman"/>
          <w:color w:val="auto"/>
          <w:sz w:val="24"/>
          <w:szCs w:val="24"/>
          <w:highlight w:val="none"/>
          <w:u w:val="single"/>
        </w:rPr>
        <w:t xml:space="preserve">        </w:t>
      </w:r>
    </w:p>
    <w:p w14:paraId="4CFCA3F5">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授权单位名称（盖章）：</w:t>
      </w:r>
      <w:r>
        <w:rPr>
          <w:rFonts w:ascii="仿宋" w:hAnsi="仿宋" w:eastAsia="仿宋" w:cs="Times New Roman"/>
          <w:color w:val="auto"/>
          <w:sz w:val="24"/>
          <w:szCs w:val="24"/>
          <w:highlight w:val="none"/>
          <w:u w:val="single"/>
        </w:rPr>
        <w:t xml:space="preserve">        </w:t>
      </w:r>
    </w:p>
    <w:p w14:paraId="4C07B1E9">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授权单位法定代表人（签字或盖章）：</w:t>
      </w:r>
      <w:r>
        <w:rPr>
          <w:rFonts w:ascii="仿宋" w:hAnsi="仿宋" w:eastAsia="仿宋" w:cs="Times New Roman"/>
          <w:color w:val="auto"/>
          <w:sz w:val="24"/>
          <w:szCs w:val="24"/>
          <w:highlight w:val="none"/>
          <w:u w:val="single"/>
        </w:rPr>
        <w:t xml:space="preserve">        </w:t>
      </w:r>
    </w:p>
    <w:p w14:paraId="6A651CBA">
      <w:pPr>
        <w:spacing w:line="360" w:lineRule="auto"/>
        <w:jc w:val="right"/>
        <w:rPr>
          <w:rFonts w:ascii="仿宋" w:hAnsi="仿宋" w:eastAsia="仿宋" w:cs="Times New Roman"/>
          <w:color w:val="auto"/>
          <w:sz w:val="24"/>
          <w:szCs w:val="24"/>
          <w:highlight w:val="none"/>
        </w:rPr>
      </w:pPr>
    </w:p>
    <w:p w14:paraId="220B3AAA">
      <w:pPr>
        <w:spacing w:line="360" w:lineRule="auto"/>
        <w:jc w:val="right"/>
        <w:rPr>
          <w:rFonts w:ascii="仿宋" w:hAnsi="仿宋" w:eastAsia="仿宋" w:cs="Times New Roman"/>
          <w:color w:val="auto"/>
          <w:sz w:val="24"/>
          <w:szCs w:val="24"/>
          <w:highlight w:val="none"/>
        </w:rPr>
      </w:pPr>
      <w:r>
        <w:rPr>
          <w:rFonts w:hint="eastAsia" w:ascii="仿宋" w:hAnsi="仿宋" w:eastAsia="仿宋" w:cs="Times New Roman"/>
          <w:bCs/>
          <w:color w:val="auto"/>
          <w:sz w:val="24"/>
          <w:szCs w:val="24"/>
          <w:highlight w:val="none"/>
          <w:u w:val="single"/>
        </w:rPr>
        <w:t>______</w:t>
      </w:r>
      <w:r>
        <w:rPr>
          <w:rFonts w:hint="eastAsia" w:ascii="仿宋" w:hAnsi="仿宋" w:eastAsia="仿宋" w:cs="Times New Roman"/>
          <w:bCs/>
          <w:color w:val="auto"/>
          <w:sz w:val="24"/>
          <w:szCs w:val="24"/>
          <w:highlight w:val="none"/>
        </w:rPr>
        <w:t>年</w:t>
      </w:r>
      <w:r>
        <w:rPr>
          <w:rFonts w:hint="eastAsia" w:ascii="仿宋" w:hAnsi="仿宋" w:eastAsia="仿宋" w:cs="Times New Roman"/>
          <w:bCs/>
          <w:color w:val="auto"/>
          <w:sz w:val="24"/>
          <w:szCs w:val="24"/>
          <w:highlight w:val="none"/>
          <w:u w:val="single"/>
        </w:rPr>
        <w:t xml:space="preserve">    </w:t>
      </w:r>
      <w:r>
        <w:rPr>
          <w:rFonts w:hint="eastAsia" w:ascii="仿宋" w:hAnsi="仿宋" w:eastAsia="仿宋" w:cs="Times New Roman"/>
          <w:bCs/>
          <w:color w:val="auto"/>
          <w:sz w:val="24"/>
          <w:szCs w:val="24"/>
          <w:highlight w:val="none"/>
        </w:rPr>
        <w:t>月</w:t>
      </w:r>
      <w:r>
        <w:rPr>
          <w:rFonts w:hint="eastAsia" w:ascii="仿宋" w:hAnsi="仿宋" w:eastAsia="仿宋" w:cs="Times New Roman"/>
          <w:bCs/>
          <w:color w:val="auto"/>
          <w:sz w:val="24"/>
          <w:szCs w:val="24"/>
          <w:highlight w:val="none"/>
          <w:u w:val="single"/>
        </w:rPr>
        <w:t xml:space="preserve">    </w:t>
      </w:r>
      <w:r>
        <w:rPr>
          <w:rFonts w:hint="eastAsia" w:ascii="仿宋" w:hAnsi="仿宋" w:eastAsia="仿宋" w:cs="Times New Roman"/>
          <w:bCs/>
          <w:color w:val="auto"/>
          <w:sz w:val="24"/>
          <w:szCs w:val="24"/>
          <w:highlight w:val="none"/>
        </w:rPr>
        <w:t>日</w:t>
      </w:r>
    </w:p>
    <w:p w14:paraId="748EF57A">
      <w:pPr>
        <w:snapToGrid w:val="0"/>
        <w:spacing w:line="360" w:lineRule="auto"/>
        <w:contextualSpacing/>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注：提供</w:t>
      </w:r>
      <w:r>
        <w:rPr>
          <w:rFonts w:ascii="仿宋" w:hAnsi="仿宋" w:eastAsia="仿宋" w:cs="宋体"/>
          <w:b/>
          <w:color w:val="auto"/>
          <w:kern w:val="0"/>
          <w:sz w:val="24"/>
          <w:szCs w:val="24"/>
          <w:highlight w:val="none"/>
        </w:rPr>
        <w:t>投标代表本人身份证复印件</w:t>
      </w:r>
      <w:r>
        <w:rPr>
          <w:rFonts w:hint="eastAsia" w:ascii="仿宋" w:hAnsi="仿宋" w:eastAsia="仿宋" w:cs="宋体"/>
          <w:b/>
          <w:color w:val="auto"/>
          <w:kern w:val="0"/>
          <w:sz w:val="24"/>
          <w:szCs w:val="24"/>
          <w:highlight w:val="none"/>
        </w:rPr>
        <w:t>盖公章</w:t>
      </w:r>
    </w:p>
    <w:p w14:paraId="0DF6CEF9">
      <w:pPr>
        <w:widowControl/>
        <w:spacing w:line="360" w:lineRule="auto"/>
        <w:jc w:val="left"/>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br w:type="page"/>
      </w:r>
    </w:p>
    <w:p w14:paraId="17355912">
      <w:pPr>
        <w:snapToGrid w:val="0"/>
        <w:spacing w:line="360" w:lineRule="auto"/>
        <w:contextualSpacing/>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附件4</w:t>
      </w:r>
    </w:p>
    <w:p w14:paraId="42FF5325">
      <w:pPr>
        <w:tabs>
          <w:tab w:val="left" w:pos="1260"/>
        </w:tabs>
        <w:snapToGrid w:val="0"/>
        <w:spacing w:line="360" w:lineRule="auto"/>
        <w:contextualSpacing/>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供应商情况一览表</w:t>
      </w:r>
    </w:p>
    <w:tbl>
      <w:tblPr>
        <w:tblStyle w:val="17"/>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86"/>
        <w:gridCol w:w="690"/>
        <w:gridCol w:w="367"/>
        <w:gridCol w:w="1050"/>
        <w:gridCol w:w="728"/>
        <w:gridCol w:w="953"/>
        <w:gridCol w:w="1263"/>
        <w:gridCol w:w="151"/>
        <w:gridCol w:w="1122"/>
        <w:gridCol w:w="62"/>
        <w:gridCol w:w="1544"/>
      </w:tblGrid>
      <w:tr w14:paraId="1847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3" w:type="dxa"/>
            <w:gridSpan w:val="2"/>
            <w:vAlign w:val="center"/>
          </w:tcPr>
          <w:p w14:paraId="1F3D3564">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单位名称</w:t>
            </w:r>
          </w:p>
        </w:tc>
        <w:tc>
          <w:tcPr>
            <w:tcW w:w="7930" w:type="dxa"/>
            <w:gridSpan w:val="10"/>
            <w:vAlign w:val="center"/>
          </w:tcPr>
          <w:p w14:paraId="6353804B">
            <w:pPr>
              <w:tabs>
                <w:tab w:val="left" w:pos="4320"/>
              </w:tabs>
              <w:spacing w:line="360" w:lineRule="auto"/>
              <w:rPr>
                <w:rFonts w:ascii="仿宋" w:hAnsi="仿宋" w:eastAsia="仿宋" w:cs="Times New Roman"/>
                <w:color w:val="auto"/>
                <w:sz w:val="24"/>
                <w:szCs w:val="24"/>
                <w:highlight w:val="none"/>
              </w:rPr>
            </w:pPr>
          </w:p>
        </w:tc>
      </w:tr>
      <w:tr w14:paraId="064F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vAlign w:val="center"/>
          </w:tcPr>
          <w:p w14:paraId="26B02183">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单位优势及特长</w:t>
            </w:r>
          </w:p>
        </w:tc>
        <w:tc>
          <w:tcPr>
            <w:tcW w:w="7240" w:type="dxa"/>
            <w:gridSpan w:val="9"/>
            <w:vAlign w:val="center"/>
          </w:tcPr>
          <w:p w14:paraId="6EBE2BC6">
            <w:pPr>
              <w:tabs>
                <w:tab w:val="left" w:pos="4320"/>
              </w:tabs>
              <w:spacing w:line="360" w:lineRule="auto"/>
              <w:rPr>
                <w:rFonts w:ascii="仿宋" w:hAnsi="仿宋" w:eastAsia="仿宋" w:cs="Times New Roman"/>
                <w:color w:val="auto"/>
                <w:sz w:val="24"/>
                <w:szCs w:val="24"/>
                <w:highlight w:val="none"/>
              </w:rPr>
            </w:pPr>
          </w:p>
        </w:tc>
      </w:tr>
      <w:tr w14:paraId="31DB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14:paraId="41FC92EC">
            <w:pPr>
              <w:tabs>
                <w:tab w:val="left" w:pos="4320"/>
              </w:tabs>
              <w:spacing w:line="360" w:lineRule="auto"/>
              <w:ind w:left="266" w:hanging="266" w:hangingChars="111"/>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单位</w:t>
            </w:r>
          </w:p>
          <w:p w14:paraId="4F384FCB">
            <w:pPr>
              <w:tabs>
                <w:tab w:val="left" w:pos="4320"/>
              </w:tabs>
              <w:spacing w:line="360" w:lineRule="auto"/>
              <w:ind w:left="266" w:hanging="266" w:hangingChars="111"/>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概况</w:t>
            </w:r>
          </w:p>
        </w:tc>
        <w:tc>
          <w:tcPr>
            <w:tcW w:w="1276" w:type="dxa"/>
            <w:gridSpan w:val="2"/>
            <w:vAlign w:val="center"/>
          </w:tcPr>
          <w:p w14:paraId="0CD71CE8">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职工总数</w:t>
            </w:r>
          </w:p>
        </w:tc>
        <w:tc>
          <w:tcPr>
            <w:tcW w:w="1417" w:type="dxa"/>
            <w:gridSpan w:val="2"/>
            <w:vAlign w:val="center"/>
          </w:tcPr>
          <w:p w14:paraId="34FB63D6">
            <w:pPr>
              <w:tabs>
                <w:tab w:val="left" w:pos="4320"/>
              </w:tabs>
              <w:spacing w:line="360" w:lineRule="auto"/>
              <w:jc w:val="righ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人</w:t>
            </w:r>
          </w:p>
        </w:tc>
        <w:tc>
          <w:tcPr>
            <w:tcW w:w="728" w:type="dxa"/>
            <w:vMerge w:val="restart"/>
            <w:vAlign w:val="center"/>
          </w:tcPr>
          <w:p w14:paraId="082D316D">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上一年主要经济指标</w:t>
            </w:r>
          </w:p>
        </w:tc>
        <w:tc>
          <w:tcPr>
            <w:tcW w:w="946" w:type="dxa"/>
            <w:vAlign w:val="center"/>
          </w:tcPr>
          <w:p w14:paraId="1F38FD93">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营业额</w:t>
            </w:r>
          </w:p>
        </w:tc>
        <w:tc>
          <w:tcPr>
            <w:tcW w:w="1414" w:type="dxa"/>
            <w:gridSpan w:val="2"/>
            <w:vAlign w:val="center"/>
          </w:tcPr>
          <w:p w14:paraId="1E9DA33E">
            <w:pPr>
              <w:tabs>
                <w:tab w:val="left" w:pos="4320"/>
              </w:tabs>
              <w:spacing w:line="360" w:lineRule="auto"/>
              <w:rPr>
                <w:rFonts w:ascii="仿宋" w:hAnsi="仿宋" w:eastAsia="仿宋" w:cs="Times New Roman"/>
                <w:color w:val="auto"/>
                <w:sz w:val="24"/>
                <w:szCs w:val="24"/>
                <w:highlight w:val="none"/>
              </w:rPr>
            </w:pPr>
          </w:p>
        </w:tc>
        <w:tc>
          <w:tcPr>
            <w:tcW w:w="1184" w:type="dxa"/>
            <w:gridSpan w:val="2"/>
            <w:vAlign w:val="center"/>
          </w:tcPr>
          <w:p w14:paraId="7CEBE443">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实现利润</w:t>
            </w:r>
          </w:p>
        </w:tc>
        <w:tc>
          <w:tcPr>
            <w:tcW w:w="1544" w:type="dxa"/>
            <w:vAlign w:val="center"/>
          </w:tcPr>
          <w:p w14:paraId="302EAEB7">
            <w:pPr>
              <w:tabs>
                <w:tab w:val="left" w:pos="4320"/>
              </w:tabs>
              <w:spacing w:line="360" w:lineRule="auto"/>
              <w:rPr>
                <w:rFonts w:ascii="仿宋" w:hAnsi="仿宋" w:eastAsia="仿宋" w:cs="Times New Roman"/>
                <w:color w:val="auto"/>
                <w:sz w:val="24"/>
                <w:szCs w:val="24"/>
                <w:highlight w:val="none"/>
              </w:rPr>
            </w:pPr>
          </w:p>
        </w:tc>
      </w:tr>
      <w:tr w14:paraId="7118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14:paraId="32392F4A">
            <w:pPr>
              <w:tabs>
                <w:tab w:val="left" w:pos="4320"/>
              </w:tabs>
              <w:spacing w:line="360" w:lineRule="auto"/>
              <w:ind w:left="266" w:hanging="266" w:hangingChars="111"/>
              <w:rPr>
                <w:rFonts w:ascii="仿宋" w:hAnsi="仿宋" w:eastAsia="仿宋" w:cs="Times New Roman"/>
                <w:color w:val="auto"/>
                <w:sz w:val="24"/>
                <w:szCs w:val="24"/>
                <w:highlight w:val="none"/>
              </w:rPr>
            </w:pPr>
          </w:p>
        </w:tc>
        <w:tc>
          <w:tcPr>
            <w:tcW w:w="1276" w:type="dxa"/>
            <w:gridSpan w:val="2"/>
            <w:vAlign w:val="center"/>
          </w:tcPr>
          <w:p w14:paraId="33F36849">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流动资金</w:t>
            </w:r>
          </w:p>
        </w:tc>
        <w:tc>
          <w:tcPr>
            <w:tcW w:w="1417" w:type="dxa"/>
            <w:gridSpan w:val="2"/>
            <w:vAlign w:val="center"/>
          </w:tcPr>
          <w:p w14:paraId="09F225A4">
            <w:pPr>
              <w:tabs>
                <w:tab w:val="left" w:pos="4320"/>
              </w:tabs>
              <w:spacing w:line="360" w:lineRule="auto"/>
              <w:jc w:val="righ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万元</w:t>
            </w:r>
          </w:p>
        </w:tc>
        <w:tc>
          <w:tcPr>
            <w:tcW w:w="728" w:type="dxa"/>
            <w:vMerge w:val="continue"/>
            <w:vAlign w:val="center"/>
          </w:tcPr>
          <w:p w14:paraId="25FE4528">
            <w:pPr>
              <w:tabs>
                <w:tab w:val="left" w:pos="4320"/>
              </w:tabs>
              <w:spacing w:line="360" w:lineRule="auto"/>
              <w:rPr>
                <w:rFonts w:ascii="仿宋" w:hAnsi="仿宋" w:eastAsia="仿宋" w:cs="Times New Roman"/>
                <w:color w:val="auto"/>
                <w:sz w:val="24"/>
                <w:szCs w:val="24"/>
                <w:highlight w:val="none"/>
              </w:rPr>
            </w:pPr>
          </w:p>
        </w:tc>
        <w:tc>
          <w:tcPr>
            <w:tcW w:w="946" w:type="dxa"/>
            <w:vMerge w:val="restart"/>
            <w:vAlign w:val="center"/>
          </w:tcPr>
          <w:p w14:paraId="5002AE01">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主要</w:t>
            </w:r>
          </w:p>
          <w:p w14:paraId="19970436">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产品</w:t>
            </w:r>
          </w:p>
        </w:tc>
        <w:tc>
          <w:tcPr>
            <w:tcW w:w="4142" w:type="dxa"/>
            <w:gridSpan w:val="5"/>
            <w:vAlign w:val="center"/>
          </w:tcPr>
          <w:p w14:paraId="59A6F28E">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w:t>
            </w:r>
          </w:p>
        </w:tc>
      </w:tr>
      <w:tr w14:paraId="0963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vAlign w:val="center"/>
          </w:tcPr>
          <w:p w14:paraId="582AA9A1">
            <w:pPr>
              <w:tabs>
                <w:tab w:val="left" w:pos="4320"/>
              </w:tabs>
              <w:spacing w:line="360" w:lineRule="auto"/>
              <w:ind w:left="266" w:hanging="266" w:hangingChars="111"/>
              <w:rPr>
                <w:rFonts w:ascii="仿宋" w:hAnsi="仿宋" w:eastAsia="仿宋" w:cs="Times New Roman"/>
                <w:color w:val="auto"/>
                <w:sz w:val="24"/>
                <w:szCs w:val="24"/>
                <w:highlight w:val="none"/>
              </w:rPr>
            </w:pPr>
          </w:p>
        </w:tc>
        <w:tc>
          <w:tcPr>
            <w:tcW w:w="1276" w:type="dxa"/>
            <w:gridSpan w:val="2"/>
            <w:vAlign w:val="center"/>
          </w:tcPr>
          <w:p w14:paraId="520B40F1">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固定资产</w:t>
            </w:r>
          </w:p>
          <w:p w14:paraId="1A4FB5A4">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（万元）</w:t>
            </w:r>
          </w:p>
        </w:tc>
        <w:tc>
          <w:tcPr>
            <w:tcW w:w="1417" w:type="dxa"/>
            <w:gridSpan w:val="2"/>
            <w:vAlign w:val="center"/>
          </w:tcPr>
          <w:p w14:paraId="40DD19D8">
            <w:pPr>
              <w:tabs>
                <w:tab w:val="left" w:pos="-48"/>
                <w:tab w:val="left" w:pos="4320"/>
              </w:tabs>
              <w:spacing w:line="360" w:lineRule="auto"/>
              <w:ind w:right="-133" w:hanging="48"/>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原值：</w:t>
            </w:r>
          </w:p>
          <w:p w14:paraId="0079A7BF">
            <w:pPr>
              <w:tabs>
                <w:tab w:val="left" w:pos="-48"/>
                <w:tab w:val="left" w:pos="4320"/>
              </w:tabs>
              <w:spacing w:line="360" w:lineRule="auto"/>
              <w:ind w:right="-133" w:hanging="48"/>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净值：</w:t>
            </w:r>
          </w:p>
        </w:tc>
        <w:tc>
          <w:tcPr>
            <w:tcW w:w="728" w:type="dxa"/>
            <w:vMerge w:val="continue"/>
            <w:vAlign w:val="center"/>
          </w:tcPr>
          <w:p w14:paraId="5C48C565">
            <w:pPr>
              <w:tabs>
                <w:tab w:val="left" w:pos="4320"/>
              </w:tabs>
              <w:spacing w:line="360" w:lineRule="auto"/>
              <w:rPr>
                <w:rFonts w:ascii="仿宋" w:hAnsi="仿宋" w:eastAsia="仿宋" w:cs="Times New Roman"/>
                <w:color w:val="auto"/>
                <w:sz w:val="24"/>
                <w:szCs w:val="24"/>
                <w:highlight w:val="none"/>
              </w:rPr>
            </w:pPr>
          </w:p>
        </w:tc>
        <w:tc>
          <w:tcPr>
            <w:tcW w:w="946" w:type="dxa"/>
            <w:vMerge w:val="continue"/>
            <w:vAlign w:val="center"/>
          </w:tcPr>
          <w:p w14:paraId="02A8EF17">
            <w:pPr>
              <w:tabs>
                <w:tab w:val="left" w:pos="4320"/>
              </w:tabs>
              <w:spacing w:line="360" w:lineRule="auto"/>
              <w:jc w:val="center"/>
              <w:rPr>
                <w:rFonts w:ascii="仿宋" w:hAnsi="仿宋" w:eastAsia="仿宋" w:cs="Times New Roman"/>
                <w:color w:val="auto"/>
                <w:sz w:val="24"/>
                <w:szCs w:val="24"/>
                <w:highlight w:val="none"/>
              </w:rPr>
            </w:pPr>
          </w:p>
        </w:tc>
        <w:tc>
          <w:tcPr>
            <w:tcW w:w="4142" w:type="dxa"/>
            <w:gridSpan w:val="5"/>
            <w:vAlign w:val="center"/>
          </w:tcPr>
          <w:p w14:paraId="17CD79D0">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p>
        </w:tc>
      </w:tr>
      <w:tr w14:paraId="74D8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14:paraId="1144A369">
            <w:pPr>
              <w:tabs>
                <w:tab w:val="left" w:pos="4320"/>
              </w:tabs>
              <w:spacing w:line="360" w:lineRule="auto"/>
              <w:ind w:left="266" w:hanging="266" w:hangingChars="111"/>
              <w:rPr>
                <w:rFonts w:ascii="仿宋" w:hAnsi="仿宋" w:eastAsia="仿宋" w:cs="Times New Roman"/>
                <w:color w:val="auto"/>
                <w:sz w:val="24"/>
                <w:szCs w:val="24"/>
                <w:highlight w:val="none"/>
              </w:rPr>
            </w:pPr>
          </w:p>
        </w:tc>
        <w:tc>
          <w:tcPr>
            <w:tcW w:w="1276" w:type="dxa"/>
            <w:gridSpan w:val="2"/>
            <w:vAlign w:val="center"/>
          </w:tcPr>
          <w:p w14:paraId="5784F583">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占地面积</w:t>
            </w:r>
          </w:p>
        </w:tc>
        <w:tc>
          <w:tcPr>
            <w:tcW w:w="1417" w:type="dxa"/>
            <w:gridSpan w:val="2"/>
            <w:vAlign w:val="center"/>
          </w:tcPr>
          <w:p w14:paraId="44E6AD48">
            <w:pPr>
              <w:tabs>
                <w:tab w:val="left" w:pos="4320"/>
              </w:tabs>
              <w:spacing w:line="360" w:lineRule="auto"/>
              <w:jc w:val="righ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M</w:t>
            </w:r>
            <w:r>
              <w:rPr>
                <w:rFonts w:hint="eastAsia" w:ascii="仿宋" w:hAnsi="仿宋" w:eastAsia="仿宋" w:cs="Times New Roman"/>
                <w:color w:val="auto"/>
                <w:sz w:val="24"/>
                <w:szCs w:val="24"/>
                <w:highlight w:val="none"/>
                <w:vertAlign w:val="superscript"/>
              </w:rPr>
              <w:t>2</w:t>
            </w:r>
          </w:p>
        </w:tc>
        <w:tc>
          <w:tcPr>
            <w:tcW w:w="728" w:type="dxa"/>
            <w:vMerge w:val="continue"/>
            <w:vAlign w:val="center"/>
          </w:tcPr>
          <w:p w14:paraId="5ED51346">
            <w:pPr>
              <w:tabs>
                <w:tab w:val="left" w:pos="4320"/>
              </w:tabs>
              <w:spacing w:line="360" w:lineRule="auto"/>
              <w:rPr>
                <w:rFonts w:ascii="仿宋" w:hAnsi="仿宋" w:eastAsia="仿宋" w:cs="Times New Roman"/>
                <w:color w:val="auto"/>
                <w:sz w:val="24"/>
                <w:szCs w:val="24"/>
                <w:highlight w:val="none"/>
              </w:rPr>
            </w:pPr>
          </w:p>
        </w:tc>
        <w:tc>
          <w:tcPr>
            <w:tcW w:w="946" w:type="dxa"/>
            <w:vMerge w:val="continue"/>
            <w:vAlign w:val="center"/>
          </w:tcPr>
          <w:p w14:paraId="634441B1">
            <w:pPr>
              <w:tabs>
                <w:tab w:val="left" w:pos="4320"/>
              </w:tabs>
              <w:spacing w:line="360" w:lineRule="auto"/>
              <w:jc w:val="center"/>
              <w:rPr>
                <w:rFonts w:ascii="仿宋" w:hAnsi="仿宋" w:eastAsia="仿宋" w:cs="Times New Roman"/>
                <w:color w:val="auto"/>
                <w:sz w:val="24"/>
                <w:szCs w:val="24"/>
                <w:highlight w:val="none"/>
              </w:rPr>
            </w:pPr>
          </w:p>
        </w:tc>
        <w:tc>
          <w:tcPr>
            <w:tcW w:w="4142" w:type="dxa"/>
            <w:gridSpan w:val="5"/>
            <w:vAlign w:val="center"/>
          </w:tcPr>
          <w:p w14:paraId="065B3C74">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w:t>
            </w:r>
          </w:p>
        </w:tc>
      </w:tr>
      <w:tr w14:paraId="15AA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14:paraId="2680E45B">
            <w:pPr>
              <w:tabs>
                <w:tab w:val="left" w:pos="4320"/>
              </w:tabs>
              <w:spacing w:line="360" w:lineRule="auto"/>
              <w:ind w:left="266" w:hanging="266" w:hangingChars="111"/>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本次</w:t>
            </w:r>
          </w:p>
          <w:p w14:paraId="6B3CF3F4">
            <w:pPr>
              <w:tabs>
                <w:tab w:val="left" w:pos="4320"/>
              </w:tabs>
              <w:spacing w:line="360" w:lineRule="auto"/>
              <w:ind w:left="266" w:hanging="266" w:hangingChars="111"/>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投标</w:t>
            </w:r>
          </w:p>
          <w:p w14:paraId="310CF193">
            <w:pPr>
              <w:tabs>
                <w:tab w:val="left" w:pos="4320"/>
              </w:tabs>
              <w:spacing w:line="360" w:lineRule="auto"/>
              <w:ind w:left="266" w:hanging="266" w:hangingChars="111"/>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产品</w:t>
            </w:r>
          </w:p>
          <w:p w14:paraId="71F0A098">
            <w:pPr>
              <w:tabs>
                <w:tab w:val="left" w:pos="4320"/>
              </w:tabs>
              <w:spacing w:line="360" w:lineRule="auto"/>
              <w:ind w:left="266" w:hanging="266" w:hangingChars="111"/>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情况</w:t>
            </w:r>
          </w:p>
        </w:tc>
        <w:tc>
          <w:tcPr>
            <w:tcW w:w="1643" w:type="dxa"/>
            <w:gridSpan w:val="3"/>
            <w:vAlign w:val="center"/>
          </w:tcPr>
          <w:p w14:paraId="5099A9B8">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本次投标</w:t>
            </w:r>
            <w:r>
              <w:rPr>
                <w:rFonts w:ascii="仿宋" w:hAnsi="仿宋" w:eastAsia="仿宋" w:cs="Times New Roman"/>
                <w:color w:val="auto"/>
                <w:sz w:val="24"/>
                <w:szCs w:val="24"/>
                <w:highlight w:val="none"/>
              </w:rPr>
              <w:br w:type="textWrapping"/>
            </w:r>
            <w:r>
              <w:rPr>
                <w:rFonts w:hint="eastAsia" w:ascii="仿宋" w:hAnsi="仿宋" w:eastAsia="仿宋" w:cs="Times New Roman"/>
                <w:color w:val="auto"/>
                <w:sz w:val="24"/>
                <w:szCs w:val="24"/>
                <w:highlight w:val="none"/>
              </w:rPr>
              <w:t>产品名称</w:t>
            </w:r>
          </w:p>
        </w:tc>
        <w:tc>
          <w:tcPr>
            <w:tcW w:w="1778" w:type="dxa"/>
            <w:gridSpan w:val="2"/>
            <w:vAlign w:val="center"/>
          </w:tcPr>
          <w:p w14:paraId="32C10FAD">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型    号</w:t>
            </w:r>
          </w:p>
        </w:tc>
        <w:tc>
          <w:tcPr>
            <w:tcW w:w="946" w:type="dxa"/>
            <w:vAlign w:val="center"/>
          </w:tcPr>
          <w:p w14:paraId="24D10F0A">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上年</w:t>
            </w:r>
            <w:r>
              <w:rPr>
                <w:rFonts w:ascii="仿宋" w:hAnsi="仿宋" w:eastAsia="仿宋" w:cs="Times New Roman"/>
                <w:color w:val="auto"/>
                <w:sz w:val="24"/>
                <w:szCs w:val="24"/>
                <w:highlight w:val="none"/>
              </w:rPr>
              <w:br w:type="textWrapping"/>
            </w:r>
            <w:r>
              <w:rPr>
                <w:rFonts w:hint="eastAsia" w:ascii="仿宋" w:hAnsi="仿宋" w:eastAsia="仿宋" w:cs="Times New Roman"/>
                <w:color w:val="auto"/>
                <w:sz w:val="24"/>
                <w:szCs w:val="24"/>
                <w:highlight w:val="none"/>
              </w:rPr>
              <w:t>产销量</w:t>
            </w:r>
          </w:p>
        </w:tc>
        <w:tc>
          <w:tcPr>
            <w:tcW w:w="1263" w:type="dxa"/>
            <w:vAlign w:val="center"/>
          </w:tcPr>
          <w:p w14:paraId="190FE98B">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产品技术</w:t>
            </w:r>
          </w:p>
          <w:p w14:paraId="2D4F1793">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先进水平</w:t>
            </w:r>
          </w:p>
        </w:tc>
        <w:tc>
          <w:tcPr>
            <w:tcW w:w="1273" w:type="dxa"/>
            <w:gridSpan w:val="2"/>
            <w:vAlign w:val="center"/>
          </w:tcPr>
          <w:p w14:paraId="2D129AF5">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曾获何级</w:t>
            </w:r>
          </w:p>
          <w:p w14:paraId="37A123D4">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何种奖励</w:t>
            </w:r>
          </w:p>
        </w:tc>
        <w:tc>
          <w:tcPr>
            <w:tcW w:w="1606" w:type="dxa"/>
            <w:gridSpan w:val="2"/>
            <w:vAlign w:val="center"/>
          </w:tcPr>
          <w:p w14:paraId="21544C8D">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主要用户</w:t>
            </w:r>
            <w:r>
              <w:rPr>
                <w:rFonts w:ascii="仿宋" w:hAnsi="仿宋" w:eastAsia="仿宋" w:cs="Times New Roman"/>
                <w:color w:val="auto"/>
                <w:sz w:val="24"/>
                <w:szCs w:val="24"/>
                <w:highlight w:val="none"/>
              </w:rPr>
              <w:br w:type="textWrapping"/>
            </w:r>
            <w:r>
              <w:rPr>
                <w:rFonts w:hint="eastAsia" w:ascii="仿宋" w:hAnsi="仿宋" w:eastAsia="仿宋" w:cs="Times New Roman"/>
                <w:color w:val="auto"/>
                <w:sz w:val="24"/>
                <w:szCs w:val="24"/>
                <w:highlight w:val="none"/>
              </w:rPr>
              <w:t>名称</w:t>
            </w:r>
          </w:p>
        </w:tc>
      </w:tr>
      <w:tr w14:paraId="1B91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14:paraId="5192656D">
            <w:pPr>
              <w:tabs>
                <w:tab w:val="left" w:pos="4320"/>
              </w:tabs>
              <w:spacing w:line="360" w:lineRule="auto"/>
              <w:rPr>
                <w:rFonts w:ascii="仿宋" w:hAnsi="仿宋" w:eastAsia="仿宋" w:cs="Times New Roman"/>
                <w:color w:val="auto"/>
                <w:sz w:val="24"/>
                <w:szCs w:val="24"/>
                <w:highlight w:val="none"/>
              </w:rPr>
            </w:pPr>
          </w:p>
        </w:tc>
        <w:tc>
          <w:tcPr>
            <w:tcW w:w="1643" w:type="dxa"/>
            <w:gridSpan w:val="3"/>
            <w:vAlign w:val="center"/>
          </w:tcPr>
          <w:p w14:paraId="49C39681">
            <w:pPr>
              <w:tabs>
                <w:tab w:val="left" w:pos="4320"/>
              </w:tabs>
              <w:spacing w:line="360" w:lineRule="auto"/>
              <w:rPr>
                <w:rFonts w:ascii="仿宋" w:hAnsi="仿宋" w:eastAsia="仿宋" w:cs="Times New Roman"/>
                <w:color w:val="auto"/>
                <w:sz w:val="24"/>
                <w:szCs w:val="24"/>
                <w:highlight w:val="none"/>
              </w:rPr>
            </w:pPr>
          </w:p>
        </w:tc>
        <w:tc>
          <w:tcPr>
            <w:tcW w:w="1778" w:type="dxa"/>
            <w:gridSpan w:val="2"/>
            <w:vAlign w:val="center"/>
          </w:tcPr>
          <w:p w14:paraId="09E1E8A1">
            <w:pPr>
              <w:tabs>
                <w:tab w:val="left" w:pos="4320"/>
              </w:tabs>
              <w:spacing w:line="360" w:lineRule="auto"/>
              <w:rPr>
                <w:rFonts w:ascii="仿宋" w:hAnsi="仿宋" w:eastAsia="仿宋" w:cs="Times New Roman"/>
                <w:color w:val="auto"/>
                <w:sz w:val="24"/>
                <w:szCs w:val="24"/>
                <w:highlight w:val="none"/>
              </w:rPr>
            </w:pPr>
          </w:p>
        </w:tc>
        <w:tc>
          <w:tcPr>
            <w:tcW w:w="946" w:type="dxa"/>
            <w:vAlign w:val="center"/>
          </w:tcPr>
          <w:p w14:paraId="708353B7">
            <w:pPr>
              <w:tabs>
                <w:tab w:val="left" w:pos="4320"/>
              </w:tabs>
              <w:spacing w:line="360" w:lineRule="auto"/>
              <w:rPr>
                <w:rFonts w:ascii="仿宋" w:hAnsi="仿宋" w:eastAsia="仿宋" w:cs="Times New Roman"/>
                <w:color w:val="auto"/>
                <w:sz w:val="24"/>
                <w:szCs w:val="24"/>
                <w:highlight w:val="none"/>
              </w:rPr>
            </w:pPr>
          </w:p>
        </w:tc>
        <w:tc>
          <w:tcPr>
            <w:tcW w:w="1263" w:type="dxa"/>
            <w:vAlign w:val="center"/>
          </w:tcPr>
          <w:p w14:paraId="2F73CFE7">
            <w:pPr>
              <w:tabs>
                <w:tab w:val="left" w:pos="4320"/>
              </w:tabs>
              <w:spacing w:line="360" w:lineRule="auto"/>
              <w:rPr>
                <w:rFonts w:ascii="仿宋" w:hAnsi="仿宋" w:eastAsia="仿宋" w:cs="Times New Roman"/>
                <w:color w:val="auto"/>
                <w:sz w:val="24"/>
                <w:szCs w:val="24"/>
                <w:highlight w:val="none"/>
              </w:rPr>
            </w:pPr>
          </w:p>
        </w:tc>
        <w:tc>
          <w:tcPr>
            <w:tcW w:w="1273" w:type="dxa"/>
            <w:gridSpan w:val="2"/>
            <w:vAlign w:val="center"/>
          </w:tcPr>
          <w:p w14:paraId="0E5C2344">
            <w:pPr>
              <w:tabs>
                <w:tab w:val="left" w:pos="4320"/>
              </w:tabs>
              <w:spacing w:line="360" w:lineRule="auto"/>
              <w:rPr>
                <w:rFonts w:ascii="仿宋" w:hAnsi="仿宋" w:eastAsia="仿宋" w:cs="Times New Roman"/>
                <w:color w:val="auto"/>
                <w:sz w:val="24"/>
                <w:szCs w:val="24"/>
                <w:highlight w:val="none"/>
              </w:rPr>
            </w:pPr>
          </w:p>
        </w:tc>
        <w:tc>
          <w:tcPr>
            <w:tcW w:w="1606" w:type="dxa"/>
            <w:gridSpan w:val="2"/>
            <w:vAlign w:val="center"/>
          </w:tcPr>
          <w:p w14:paraId="57C469B0">
            <w:pPr>
              <w:tabs>
                <w:tab w:val="left" w:pos="4320"/>
              </w:tabs>
              <w:spacing w:line="360" w:lineRule="auto"/>
              <w:rPr>
                <w:rFonts w:ascii="仿宋" w:hAnsi="仿宋" w:eastAsia="仿宋" w:cs="Times New Roman"/>
                <w:color w:val="auto"/>
                <w:sz w:val="24"/>
                <w:szCs w:val="24"/>
                <w:highlight w:val="none"/>
              </w:rPr>
            </w:pPr>
          </w:p>
        </w:tc>
      </w:tr>
      <w:tr w14:paraId="66E7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14:paraId="4A7A9E82">
            <w:pPr>
              <w:tabs>
                <w:tab w:val="left" w:pos="4320"/>
              </w:tabs>
              <w:spacing w:line="360" w:lineRule="auto"/>
              <w:rPr>
                <w:rFonts w:ascii="仿宋" w:hAnsi="仿宋" w:eastAsia="仿宋" w:cs="Times New Roman"/>
                <w:color w:val="auto"/>
                <w:sz w:val="24"/>
                <w:szCs w:val="24"/>
                <w:highlight w:val="none"/>
              </w:rPr>
            </w:pPr>
          </w:p>
        </w:tc>
        <w:tc>
          <w:tcPr>
            <w:tcW w:w="1643" w:type="dxa"/>
            <w:gridSpan w:val="3"/>
            <w:vAlign w:val="center"/>
          </w:tcPr>
          <w:p w14:paraId="06D6BF4F">
            <w:pPr>
              <w:tabs>
                <w:tab w:val="left" w:pos="4320"/>
              </w:tabs>
              <w:spacing w:line="360" w:lineRule="auto"/>
              <w:rPr>
                <w:rFonts w:ascii="仿宋" w:hAnsi="仿宋" w:eastAsia="仿宋" w:cs="Times New Roman"/>
                <w:color w:val="auto"/>
                <w:sz w:val="24"/>
                <w:szCs w:val="24"/>
                <w:highlight w:val="none"/>
              </w:rPr>
            </w:pPr>
          </w:p>
        </w:tc>
        <w:tc>
          <w:tcPr>
            <w:tcW w:w="1778" w:type="dxa"/>
            <w:gridSpan w:val="2"/>
            <w:vAlign w:val="center"/>
          </w:tcPr>
          <w:p w14:paraId="3E1A625E">
            <w:pPr>
              <w:tabs>
                <w:tab w:val="left" w:pos="4320"/>
              </w:tabs>
              <w:spacing w:line="360" w:lineRule="auto"/>
              <w:rPr>
                <w:rFonts w:ascii="仿宋" w:hAnsi="仿宋" w:eastAsia="仿宋" w:cs="Times New Roman"/>
                <w:color w:val="auto"/>
                <w:sz w:val="24"/>
                <w:szCs w:val="24"/>
                <w:highlight w:val="none"/>
              </w:rPr>
            </w:pPr>
          </w:p>
        </w:tc>
        <w:tc>
          <w:tcPr>
            <w:tcW w:w="946" w:type="dxa"/>
            <w:vAlign w:val="center"/>
          </w:tcPr>
          <w:p w14:paraId="6FA8130B">
            <w:pPr>
              <w:tabs>
                <w:tab w:val="left" w:pos="4320"/>
              </w:tabs>
              <w:spacing w:line="360" w:lineRule="auto"/>
              <w:rPr>
                <w:rFonts w:ascii="仿宋" w:hAnsi="仿宋" w:eastAsia="仿宋" w:cs="Times New Roman"/>
                <w:color w:val="auto"/>
                <w:sz w:val="24"/>
                <w:szCs w:val="24"/>
                <w:highlight w:val="none"/>
              </w:rPr>
            </w:pPr>
          </w:p>
        </w:tc>
        <w:tc>
          <w:tcPr>
            <w:tcW w:w="1263" w:type="dxa"/>
            <w:vAlign w:val="center"/>
          </w:tcPr>
          <w:p w14:paraId="678BE8B4">
            <w:pPr>
              <w:tabs>
                <w:tab w:val="left" w:pos="4320"/>
              </w:tabs>
              <w:spacing w:line="360" w:lineRule="auto"/>
              <w:rPr>
                <w:rFonts w:ascii="仿宋" w:hAnsi="仿宋" w:eastAsia="仿宋" w:cs="Times New Roman"/>
                <w:color w:val="auto"/>
                <w:sz w:val="24"/>
                <w:szCs w:val="24"/>
                <w:highlight w:val="none"/>
              </w:rPr>
            </w:pPr>
          </w:p>
        </w:tc>
        <w:tc>
          <w:tcPr>
            <w:tcW w:w="1273" w:type="dxa"/>
            <w:gridSpan w:val="2"/>
            <w:vAlign w:val="center"/>
          </w:tcPr>
          <w:p w14:paraId="32FE0D28">
            <w:pPr>
              <w:tabs>
                <w:tab w:val="left" w:pos="4320"/>
              </w:tabs>
              <w:spacing w:line="360" w:lineRule="auto"/>
              <w:rPr>
                <w:rFonts w:ascii="仿宋" w:hAnsi="仿宋" w:eastAsia="仿宋" w:cs="Times New Roman"/>
                <w:color w:val="auto"/>
                <w:sz w:val="24"/>
                <w:szCs w:val="24"/>
                <w:highlight w:val="none"/>
              </w:rPr>
            </w:pPr>
          </w:p>
        </w:tc>
        <w:tc>
          <w:tcPr>
            <w:tcW w:w="1606" w:type="dxa"/>
            <w:gridSpan w:val="2"/>
            <w:vAlign w:val="center"/>
          </w:tcPr>
          <w:p w14:paraId="6D9BB221">
            <w:pPr>
              <w:tabs>
                <w:tab w:val="left" w:pos="4320"/>
              </w:tabs>
              <w:spacing w:line="360" w:lineRule="auto"/>
              <w:rPr>
                <w:rFonts w:ascii="仿宋" w:hAnsi="仿宋" w:eastAsia="仿宋" w:cs="Times New Roman"/>
                <w:color w:val="auto"/>
                <w:sz w:val="24"/>
                <w:szCs w:val="24"/>
                <w:highlight w:val="none"/>
              </w:rPr>
            </w:pPr>
          </w:p>
        </w:tc>
      </w:tr>
      <w:tr w14:paraId="6477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14:paraId="0547A455">
            <w:pPr>
              <w:tabs>
                <w:tab w:val="left" w:pos="4320"/>
              </w:tabs>
              <w:spacing w:line="360" w:lineRule="auto"/>
              <w:rPr>
                <w:rFonts w:ascii="仿宋" w:hAnsi="仿宋" w:eastAsia="仿宋" w:cs="Times New Roman"/>
                <w:color w:val="auto"/>
                <w:sz w:val="24"/>
                <w:szCs w:val="24"/>
                <w:highlight w:val="none"/>
              </w:rPr>
            </w:pPr>
          </w:p>
        </w:tc>
        <w:tc>
          <w:tcPr>
            <w:tcW w:w="1643" w:type="dxa"/>
            <w:gridSpan w:val="3"/>
            <w:vAlign w:val="center"/>
          </w:tcPr>
          <w:p w14:paraId="2FFB3000">
            <w:pPr>
              <w:tabs>
                <w:tab w:val="left" w:pos="4320"/>
              </w:tabs>
              <w:spacing w:line="360" w:lineRule="auto"/>
              <w:rPr>
                <w:rFonts w:ascii="仿宋" w:hAnsi="仿宋" w:eastAsia="仿宋" w:cs="Times New Roman"/>
                <w:color w:val="auto"/>
                <w:sz w:val="24"/>
                <w:szCs w:val="24"/>
                <w:highlight w:val="none"/>
              </w:rPr>
            </w:pPr>
          </w:p>
        </w:tc>
        <w:tc>
          <w:tcPr>
            <w:tcW w:w="1778" w:type="dxa"/>
            <w:gridSpan w:val="2"/>
            <w:vAlign w:val="center"/>
          </w:tcPr>
          <w:p w14:paraId="280FBB6B">
            <w:pPr>
              <w:tabs>
                <w:tab w:val="left" w:pos="4320"/>
              </w:tabs>
              <w:spacing w:line="360" w:lineRule="auto"/>
              <w:rPr>
                <w:rFonts w:ascii="仿宋" w:hAnsi="仿宋" w:eastAsia="仿宋" w:cs="Times New Roman"/>
                <w:color w:val="auto"/>
                <w:sz w:val="24"/>
                <w:szCs w:val="24"/>
                <w:highlight w:val="none"/>
              </w:rPr>
            </w:pPr>
          </w:p>
        </w:tc>
        <w:tc>
          <w:tcPr>
            <w:tcW w:w="946" w:type="dxa"/>
            <w:vAlign w:val="center"/>
          </w:tcPr>
          <w:p w14:paraId="52D95641">
            <w:pPr>
              <w:tabs>
                <w:tab w:val="left" w:pos="4320"/>
              </w:tabs>
              <w:spacing w:line="360" w:lineRule="auto"/>
              <w:rPr>
                <w:rFonts w:ascii="仿宋" w:hAnsi="仿宋" w:eastAsia="仿宋" w:cs="Times New Roman"/>
                <w:color w:val="auto"/>
                <w:sz w:val="24"/>
                <w:szCs w:val="24"/>
                <w:highlight w:val="none"/>
              </w:rPr>
            </w:pPr>
          </w:p>
        </w:tc>
        <w:tc>
          <w:tcPr>
            <w:tcW w:w="1263" w:type="dxa"/>
            <w:vAlign w:val="center"/>
          </w:tcPr>
          <w:p w14:paraId="3F8CE190">
            <w:pPr>
              <w:tabs>
                <w:tab w:val="left" w:pos="4320"/>
              </w:tabs>
              <w:spacing w:line="360" w:lineRule="auto"/>
              <w:rPr>
                <w:rFonts w:ascii="仿宋" w:hAnsi="仿宋" w:eastAsia="仿宋" w:cs="Times New Roman"/>
                <w:color w:val="auto"/>
                <w:sz w:val="24"/>
                <w:szCs w:val="24"/>
                <w:highlight w:val="none"/>
              </w:rPr>
            </w:pPr>
          </w:p>
        </w:tc>
        <w:tc>
          <w:tcPr>
            <w:tcW w:w="1273" w:type="dxa"/>
            <w:gridSpan w:val="2"/>
            <w:vAlign w:val="center"/>
          </w:tcPr>
          <w:p w14:paraId="014E7104">
            <w:pPr>
              <w:tabs>
                <w:tab w:val="left" w:pos="4320"/>
              </w:tabs>
              <w:spacing w:line="360" w:lineRule="auto"/>
              <w:rPr>
                <w:rFonts w:ascii="仿宋" w:hAnsi="仿宋" w:eastAsia="仿宋" w:cs="Times New Roman"/>
                <w:color w:val="auto"/>
                <w:sz w:val="24"/>
                <w:szCs w:val="24"/>
                <w:highlight w:val="none"/>
              </w:rPr>
            </w:pPr>
          </w:p>
        </w:tc>
        <w:tc>
          <w:tcPr>
            <w:tcW w:w="1606" w:type="dxa"/>
            <w:gridSpan w:val="2"/>
            <w:vAlign w:val="center"/>
          </w:tcPr>
          <w:p w14:paraId="7A42E4F6">
            <w:pPr>
              <w:tabs>
                <w:tab w:val="left" w:pos="4320"/>
              </w:tabs>
              <w:spacing w:line="360" w:lineRule="auto"/>
              <w:rPr>
                <w:rFonts w:ascii="仿宋" w:hAnsi="仿宋" w:eastAsia="仿宋" w:cs="Times New Roman"/>
                <w:color w:val="auto"/>
                <w:sz w:val="24"/>
                <w:szCs w:val="24"/>
                <w:highlight w:val="none"/>
              </w:rPr>
            </w:pPr>
          </w:p>
        </w:tc>
      </w:tr>
      <w:tr w14:paraId="5DA8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14:paraId="2953549E">
            <w:pPr>
              <w:tabs>
                <w:tab w:val="left" w:pos="4320"/>
              </w:tabs>
              <w:spacing w:line="360" w:lineRule="auto"/>
              <w:rPr>
                <w:rFonts w:ascii="仿宋" w:hAnsi="仿宋" w:eastAsia="仿宋" w:cs="Times New Roman"/>
                <w:color w:val="auto"/>
                <w:sz w:val="24"/>
                <w:szCs w:val="24"/>
                <w:highlight w:val="none"/>
              </w:rPr>
            </w:pPr>
          </w:p>
        </w:tc>
        <w:tc>
          <w:tcPr>
            <w:tcW w:w="1643" w:type="dxa"/>
            <w:gridSpan w:val="3"/>
            <w:vAlign w:val="center"/>
          </w:tcPr>
          <w:p w14:paraId="64D31AA0">
            <w:pPr>
              <w:tabs>
                <w:tab w:val="left" w:pos="4320"/>
              </w:tabs>
              <w:spacing w:line="360" w:lineRule="auto"/>
              <w:rPr>
                <w:rFonts w:ascii="仿宋" w:hAnsi="仿宋" w:eastAsia="仿宋" w:cs="Times New Roman"/>
                <w:color w:val="auto"/>
                <w:sz w:val="24"/>
                <w:szCs w:val="24"/>
                <w:highlight w:val="none"/>
              </w:rPr>
            </w:pPr>
          </w:p>
        </w:tc>
        <w:tc>
          <w:tcPr>
            <w:tcW w:w="1778" w:type="dxa"/>
            <w:gridSpan w:val="2"/>
            <w:vAlign w:val="center"/>
          </w:tcPr>
          <w:p w14:paraId="4103BC65">
            <w:pPr>
              <w:tabs>
                <w:tab w:val="left" w:pos="4320"/>
              </w:tabs>
              <w:spacing w:line="360" w:lineRule="auto"/>
              <w:rPr>
                <w:rFonts w:ascii="仿宋" w:hAnsi="仿宋" w:eastAsia="仿宋" w:cs="Times New Roman"/>
                <w:color w:val="auto"/>
                <w:sz w:val="24"/>
                <w:szCs w:val="24"/>
                <w:highlight w:val="none"/>
              </w:rPr>
            </w:pPr>
          </w:p>
        </w:tc>
        <w:tc>
          <w:tcPr>
            <w:tcW w:w="946" w:type="dxa"/>
            <w:vAlign w:val="center"/>
          </w:tcPr>
          <w:p w14:paraId="20FD059D">
            <w:pPr>
              <w:tabs>
                <w:tab w:val="left" w:pos="4320"/>
              </w:tabs>
              <w:spacing w:line="360" w:lineRule="auto"/>
              <w:rPr>
                <w:rFonts w:ascii="仿宋" w:hAnsi="仿宋" w:eastAsia="仿宋" w:cs="Times New Roman"/>
                <w:color w:val="auto"/>
                <w:sz w:val="24"/>
                <w:szCs w:val="24"/>
                <w:highlight w:val="none"/>
              </w:rPr>
            </w:pPr>
          </w:p>
        </w:tc>
        <w:tc>
          <w:tcPr>
            <w:tcW w:w="1263" w:type="dxa"/>
            <w:vAlign w:val="center"/>
          </w:tcPr>
          <w:p w14:paraId="6D28541D">
            <w:pPr>
              <w:tabs>
                <w:tab w:val="left" w:pos="4320"/>
              </w:tabs>
              <w:spacing w:line="360" w:lineRule="auto"/>
              <w:rPr>
                <w:rFonts w:ascii="仿宋" w:hAnsi="仿宋" w:eastAsia="仿宋" w:cs="Times New Roman"/>
                <w:color w:val="auto"/>
                <w:sz w:val="24"/>
                <w:szCs w:val="24"/>
                <w:highlight w:val="none"/>
              </w:rPr>
            </w:pPr>
          </w:p>
        </w:tc>
        <w:tc>
          <w:tcPr>
            <w:tcW w:w="1273" w:type="dxa"/>
            <w:gridSpan w:val="2"/>
            <w:vAlign w:val="center"/>
          </w:tcPr>
          <w:p w14:paraId="63F8B96F">
            <w:pPr>
              <w:tabs>
                <w:tab w:val="left" w:pos="4320"/>
              </w:tabs>
              <w:spacing w:line="360" w:lineRule="auto"/>
              <w:rPr>
                <w:rFonts w:ascii="仿宋" w:hAnsi="仿宋" w:eastAsia="仿宋" w:cs="Times New Roman"/>
                <w:color w:val="auto"/>
                <w:sz w:val="24"/>
                <w:szCs w:val="24"/>
                <w:highlight w:val="none"/>
              </w:rPr>
            </w:pPr>
          </w:p>
        </w:tc>
        <w:tc>
          <w:tcPr>
            <w:tcW w:w="1606" w:type="dxa"/>
            <w:gridSpan w:val="2"/>
            <w:vAlign w:val="center"/>
          </w:tcPr>
          <w:p w14:paraId="3322150D">
            <w:pPr>
              <w:tabs>
                <w:tab w:val="left" w:pos="4320"/>
              </w:tabs>
              <w:spacing w:line="360" w:lineRule="auto"/>
              <w:rPr>
                <w:rFonts w:ascii="仿宋" w:hAnsi="仿宋" w:eastAsia="仿宋" w:cs="Times New Roman"/>
                <w:color w:val="auto"/>
                <w:sz w:val="24"/>
                <w:szCs w:val="24"/>
                <w:highlight w:val="none"/>
              </w:rPr>
            </w:pPr>
          </w:p>
        </w:tc>
      </w:tr>
      <w:tr w14:paraId="567F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14:paraId="223F2EB2">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其它</w:t>
            </w:r>
          </w:p>
        </w:tc>
        <w:tc>
          <w:tcPr>
            <w:tcW w:w="4374" w:type="dxa"/>
            <w:gridSpan w:val="6"/>
            <w:vAlign w:val="center"/>
          </w:tcPr>
          <w:p w14:paraId="260A60AF">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近3年完成及正在执行的合同中发生的由于供应商违约或部分违约而引起诉讼和受到索赔的案件具体情况及结果（须如实填写，若对此进行隐瞒，尔后又被采购人或</w:t>
            </w:r>
            <w:r>
              <w:rPr>
                <w:rFonts w:hint="eastAsia" w:ascii="仿宋" w:hAnsi="仿宋" w:eastAsia="仿宋" w:cs="Times New Roman"/>
                <w:color w:val="auto"/>
                <w:sz w:val="24"/>
                <w:szCs w:val="24"/>
                <w:highlight w:val="none"/>
                <w:lang w:eastAsia="zh-CN"/>
              </w:rPr>
              <w:t>采购人</w:t>
            </w:r>
            <w:r>
              <w:rPr>
                <w:rFonts w:hint="eastAsia" w:ascii="仿宋" w:hAnsi="仿宋" w:eastAsia="仿宋" w:cs="Times New Roman"/>
                <w:color w:val="auto"/>
                <w:sz w:val="24"/>
                <w:szCs w:val="24"/>
                <w:highlight w:val="none"/>
              </w:rPr>
              <w:t>发现，或被它人举证成立，其询价资格将被取消）。</w:t>
            </w:r>
          </w:p>
        </w:tc>
        <w:tc>
          <w:tcPr>
            <w:tcW w:w="4142" w:type="dxa"/>
            <w:gridSpan w:val="5"/>
            <w:vAlign w:val="center"/>
          </w:tcPr>
          <w:p w14:paraId="742A0A7E">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6654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trPr>
        <w:tc>
          <w:tcPr>
            <w:tcW w:w="817" w:type="dxa"/>
            <w:vMerge w:val="continue"/>
            <w:vAlign w:val="center"/>
          </w:tcPr>
          <w:p w14:paraId="445AE262">
            <w:pPr>
              <w:tabs>
                <w:tab w:val="left" w:pos="4320"/>
              </w:tabs>
              <w:spacing w:line="360" w:lineRule="auto"/>
              <w:rPr>
                <w:rFonts w:ascii="仿宋" w:hAnsi="仿宋" w:eastAsia="仿宋" w:cs="Times New Roman"/>
                <w:color w:val="auto"/>
                <w:sz w:val="24"/>
                <w:szCs w:val="24"/>
                <w:highlight w:val="none"/>
              </w:rPr>
            </w:pPr>
          </w:p>
        </w:tc>
        <w:tc>
          <w:tcPr>
            <w:tcW w:w="4374" w:type="dxa"/>
            <w:gridSpan w:val="6"/>
            <w:vAlign w:val="center"/>
          </w:tcPr>
          <w:p w14:paraId="5D145CCD">
            <w:pPr>
              <w:tabs>
                <w:tab w:val="left" w:pos="4320"/>
              </w:tabs>
              <w:spacing w:line="360" w:lineRule="auto"/>
              <w:rPr>
                <w:rFonts w:ascii="仿宋" w:hAnsi="仿宋" w:eastAsia="仿宋" w:cs="Times New Roman"/>
                <w:color w:val="auto"/>
                <w:sz w:val="24"/>
                <w:szCs w:val="24"/>
                <w:highlight w:val="none"/>
              </w:rPr>
            </w:pPr>
          </w:p>
        </w:tc>
        <w:tc>
          <w:tcPr>
            <w:tcW w:w="4142" w:type="dxa"/>
            <w:gridSpan w:val="5"/>
            <w:vAlign w:val="center"/>
          </w:tcPr>
          <w:p w14:paraId="75D69A77">
            <w:pPr>
              <w:tabs>
                <w:tab w:val="left" w:pos="4320"/>
              </w:tabs>
              <w:spacing w:line="360" w:lineRule="auto"/>
              <w:rPr>
                <w:rFonts w:ascii="仿宋" w:hAnsi="仿宋" w:eastAsia="仿宋" w:cs="Times New Roman"/>
                <w:color w:val="auto"/>
                <w:sz w:val="24"/>
                <w:szCs w:val="24"/>
                <w:highlight w:val="none"/>
              </w:rPr>
            </w:pPr>
          </w:p>
        </w:tc>
      </w:tr>
    </w:tbl>
    <w:p w14:paraId="40178CFD">
      <w:pPr>
        <w:snapToGrid w:val="0"/>
        <w:spacing w:line="360" w:lineRule="auto"/>
        <w:contextualSpacing/>
        <w:rPr>
          <w:rFonts w:ascii="仿宋" w:hAnsi="仿宋" w:eastAsia="仿宋" w:cs="Times New Roman"/>
          <w:color w:val="auto"/>
          <w:kern w:val="0"/>
          <w:sz w:val="24"/>
          <w:szCs w:val="24"/>
          <w:highlight w:val="none"/>
        </w:rPr>
      </w:pPr>
    </w:p>
    <w:p w14:paraId="2E95F4A9">
      <w:pPr>
        <w:widowControl/>
        <w:spacing w:line="360" w:lineRule="auto"/>
        <w:jc w:val="left"/>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br w:type="page"/>
      </w:r>
    </w:p>
    <w:p w14:paraId="724B4091">
      <w:pPr>
        <w:snapToGrid w:val="0"/>
        <w:spacing w:line="360" w:lineRule="auto"/>
        <w:contextualSpacing/>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附件5</w:t>
      </w:r>
    </w:p>
    <w:p w14:paraId="06293973">
      <w:pPr>
        <w:snapToGrid w:val="0"/>
        <w:spacing w:line="360" w:lineRule="auto"/>
        <w:contextualSpacing/>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商务部分正负偏离表</w:t>
      </w:r>
    </w:p>
    <w:p w14:paraId="4BBAFB85">
      <w:pPr>
        <w:spacing w:line="360" w:lineRule="auto"/>
        <w:ind w:firstLine="480" w:firstLineChars="20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（由供应商据实填写，表格不够自行添加）</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258"/>
        <w:gridCol w:w="1972"/>
        <w:gridCol w:w="2544"/>
        <w:gridCol w:w="1401"/>
      </w:tblGrid>
      <w:tr w14:paraId="3BBF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0" w:type="pct"/>
            <w:vAlign w:val="center"/>
          </w:tcPr>
          <w:p w14:paraId="5F03613D">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序号</w:t>
            </w:r>
          </w:p>
        </w:tc>
        <w:tc>
          <w:tcPr>
            <w:tcW w:w="1254" w:type="pct"/>
            <w:vAlign w:val="center"/>
          </w:tcPr>
          <w:p w14:paraId="6267A951">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货物或服务名称</w:t>
            </w:r>
          </w:p>
        </w:tc>
        <w:tc>
          <w:tcPr>
            <w:tcW w:w="1095" w:type="pct"/>
            <w:vAlign w:val="center"/>
          </w:tcPr>
          <w:p w14:paraId="778CB9CC">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采购文件要求的商务条款</w:t>
            </w:r>
          </w:p>
        </w:tc>
        <w:tc>
          <w:tcPr>
            <w:tcW w:w="1413" w:type="pct"/>
            <w:vAlign w:val="center"/>
          </w:tcPr>
          <w:p w14:paraId="1543CFC4">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响应文件响应情况</w:t>
            </w:r>
          </w:p>
        </w:tc>
        <w:tc>
          <w:tcPr>
            <w:tcW w:w="778" w:type="pct"/>
          </w:tcPr>
          <w:p w14:paraId="77849372">
            <w:pPr>
              <w:spacing w:line="360" w:lineRule="auto"/>
              <w:jc w:val="center"/>
              <w:rPr>
                <w:rFonts w:ascii="仿宋" w:hAnsi="仿宋" w:eastAsia="仿宋" w:cs="Times New Roman"/>
                <w:color w:val="auto"/>
                <w:sz w:val="24"/>
                <w:szCs w:val="24"/>
                <w:highlight w:val="none"/>
              </w:rPr>
            </w:pPr>
          </w:p>
          <w:p w14:paraId="11275467">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偏离说明</w:t>
            </w:r>
          </w:p>
        </w:tc>
      </w:tr>
      <w:tr w14:paraId="297D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0" w:type="pct"/>
          </w:tcPr>
          <w:p w14:paraId="1D5FA403">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w:t>
            </w:r>
          </w:p>
        </w:tc>
        <w:tc>
          <w:tcPr>
            <w:tcW w:w="1254" w:type="pct"/>
            <w:vAlign w:val="center"/>
          </w:tcPr>
          <w:p w14:paraId="5209FCAA">
            <w:pPr>
              <w:spacing w:line="360" w:lineRule="auto"/>
              <w:jc w:val="left"/>
              <w:rPr>
                <w:rFonts w:ascii="仿宋" w:hAnsi="仿宋" w:eastAsia="仿宋" w:cs="Times New Roman"/>
                <w:color w:val="auto"/>
                <w:sz w:val="24"/>
                <w:szCs w:val="24"/>
                <w:highlight w:val="none"/>
              </w:rPr>
            </w:pPr>
          </w:p>
        </w:tc>
        <w:tc>
          <w:tcPr>
            <w:tcW w:w="1095" w:type="pct"/>
            <w:vAlign w:val="center"/>
          </w:tcPr>
          <w:p w14:paraId="7990367A">
            <w:pPr>
              <w:spacing w:line="360" w:lineRule="auto"/>
              <w:jc w:val="left"/>
              <w:rPr>
                <w:rFonts w:ascii="仿宋" w:hAnsi="仿宋" w:eastAsia="仿宋" w:cs="Times New Roman"/>
                <w:color w:val="auto"/>
                <w:sz w:val="24"/>
                <w:szCs w:val="24"/>
                <w:highlight w:val="none"/>
              </w:rPr>
            </w:pPr>
          </w:p>
        </w:tc>
        <w:tc>
          <w:tcPr>
            <w:tcW w:w="1413" w:type="pct"/>
            <w:vAlign w:val="center"/>
          </w:tcPr>
          <w:p w14:paraId="6119DB4D">
            <w:pPr>
              <w:spacing w:line="360" w:lineRule="auto"/>
              <w:jc w:val="left"/>
              <w:rPr>
                <w:rFonts w:ascii="仿宋" w:hAnsi="仿宋" w:eastAsia="仿宋" w:cs="Times New Roman"/>
                <w:color w:val="auto"/>
                <w:sz w:val="24"/>
                <w:szCs w:val="24"/>
                <w:highlight w:val="none"/>
              </w:rPr>
            </w:pPr>
          </w:p>
        </w:tc>
        <w:tc>
          <w:tcPr>
            <w:tcW w:w="778" w:type="pct"/>
          </w:tcPr>
          <w:p w14:paraId="04CF63EA">
            <w:pPr>
              <w:spacing w:line="360" w:lineRule="auto"/>
              <w:jc w:val="left"/>
              <w:rPr>
                <w:rFonts w:ascii="仿宋" w:hAnsi="仿宋" w:eastAsia="仿宋" w:cs="Times New Roman"/>
                <w:color w:val="auto"/>
                <w:sz w:val="24"/>
                <w:szCs w:val="24"/>
                <w:highlight w:val="none"/>
              </w:rPr>
            </w:pPr>
          </w:p>
        </w:tc>
      </w:tr>
      <w:tr w14:paraId="16FE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60" w:type="pct"/>
          </w:tcPr>
          <w:p w14:paraId="5E220389">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p>
        </w:tc>
        <w:tc>
          <w:tcPr>
            <w:tcW w:w="1254" w:type="pct"/>
            <w:vAlign w:val="center"/>
          </w:tcPr>
          <w:p w14:paraId="1C0709BB">
            <w:pPr>
              <w:spacing w:line="360" w:lineRule="auto"/>
              <w:jc w:val="left"/>
              <w:rPr>
                <w:rFonts w:ascii="仿宋" w:hAnsi="仿宋" w:eastAsia="仿宋" w:cs="Times New Roman"/>
                <w:color w:val="auto"/>
                <w:sz w:val="24"/>
                <w:szCs w:val="24"/>
                <w:highlight w:val="none"/>
              </w:rPr>
            </w:pPr>
          </w:p>
        </w:tc>
        <w:tc>
          <w:tcPr>
            <w:tcW w:w="1095" w:type="pct"/>
            <w:vAlign w:val="center"/>
          </w:tcPr>
          <w:p w14:paraId="4E99922E">
            <w:pPr>
              <w:spacing w:line="360" w:lineRule="auto"/>
              <w:jc w:val="left"/>
              <w:rPr>
                <w:rFonts w:ascii="仿宋" w:hAnsi="仿宋" w:eastAsia="仿宋" w:cs="Times New Roman"/>
                <w:color w:val="auto"/>
                <w:sz w:val="24"/>
                <w:szCs w:val="24"/>
                <w:highlight w:val="none"/>
              </w:rPr>
            </w:pPr>
          </w:p>
        </w:tc>
        <w:tc>
          <w:tcPr>
            <w:tcW w:w="1413" w:type="pct"/>
            <w:vAlign w:val="center"/>
          </w:tcPr>
          <w:p w14:paraId="6020148D">
            <w:pPr>
              <w:spacing w:line="360" w:lineRule="auto"/>
              <w:jc w:val="left"/>
              <w:rPr>
                <w:rFonts w:ascii="仿宋" w:hAnsi="仿宋" w:eastAsia="仿宋" w:cs="Times New Roman"/>
                <w:color w:val="auto"/>
                <w:sz w:val="24"/>
                <w:szCs w:val="24"/>
                <w:highlight w:val="none"/>
              </w:rPr>
            </w:pPr>
          </w:p>
        </w:tc>
        <w:tc>
          <w:tcPr>
            <w:tcW w:w="778" w:type="pct"/>
          </w:tcPr>
          <w:p w14:paraId="45142267">
            <w:pPr>
              <w:spacing w:line="360" w:lineRule="auto"/>
              <w:jc w:val="left"/>
              <w:rPr>
                <w:rFonts w:ascii="仿宋" w:hAnsi="仿宋" w:eastAsia="仿宋" w:cs="Times New Roman"/>
                <w:color w:val="auto"/>
                <w:sz w:val="24"/>
                <w:szCs w:val="24"/>
                <w:highlight w:val="none"/>
              </w:rPr>
            </w:pPr>
          </w:p>
        </w:tc>
      </w:tr>
      <w:tr w14:paraId="6349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tcPr>
          <w:p w14:paraId="0023F71F">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w:t>
            </w:r>
          </w:p>
        </w:tc>
        <w:tc>
          <w:tcPr>
            <w:tcW w:w="1254" w:type="pct"/>
            <w:vAlign w:val="center"/>
          </w:tcPr>
          <w:p w14:paraId="538C54B8">
            <w:pPr>
              <w:spacing w:line="360" w:lineRule="auto"/>
              <w:jc w:val="left"/>
              <w:rPr>
                <w:rFonts w:ascii="仿宋" w:hAnsi="仿宋" w:eastAsia="仿宋" w:cs="Times New Roman"/>
                <w:color w:val="auto"/>
                <w:sz w:val="24"/>
                <w:szCs w:val="24"/>
                <w:highlight w:val="none"/>
              </w:rPr>
            </w:pPr>
          </w:p>
        </w:tc>
        <w:tc>
          <w:tcPr>
            <w:tcW w:w="1095" w:type="pct"/>
            <w:vAlign w:val="center"/>
          </w:tcPr>
          <w:p w14:paraId="2283D13E">
            <w:pPr>
              <w:spacing w:line="360" w:lineRule="auto"/>
              <w:jc w:val="left"/>
              <w:rPr>
                <w:rFonts w:ascii="仿宋" w:hAnsi="仿宋" w:eastAsia="仿宋" w:cs="Times New Roman"/>
                <w:color w:val="auto"/>
                <w:sz w:val="24"/>
                <w:szCs w:val="24"/>
                <w:highlight w:val="none"/>
              </w:rPr>
            </w:pPr>
          </w:p>
        </w:tc>
        <w:tc>
          <w:tcPr>
            <w:tcW w:w="1413" w:type="pct"/>
            <w:vAlign w:val="center"/>
          </w:tcPr>
          <w:p w14:paraId="4626A8F0">
            <w:pPr>
              <w:spacing w:line="360" w:lineRule="auto"/>
              <w:jc w:val="left"/>
              <w:rPr>
                <w:rFonts w:ascii="仿宋" w:hAnsi="仿宋" w:eastAsia="仿宋" w:cs="Times New Roman"/>
                <w:color w:val="auto"/>
                <w:sz w:val="24"/>
                <w:szCs w:val="24"/>
                <w:highlight w:val="none"/>
              </w:rPr>
            </w:pPr>
          </w:p>
        </w:tc>
        <w:tc>
          <w:tcPr>
            <w:tcW w:w="778" w:type="pct"/>
          </w:tcPr>
          <w:p w14:paraId="35CA2BB1">
            <w:pPr>
              <w:spacing w:line="360" w:lineRule="auto"/>
              <w:jc w:val="left"/>
              <w:rPr>
                <w:rFonts w:ascii="仿宋" w:hAnsi="仿宋" w:eastAsia="仿宋" w:cs="Times New Roman"/>
                <w:color w:val="auto"/>
                <w:sz w:val="24"/>
                <w:szCs w:val="24"/>
                <w:highlight w:val="none"/>
              </w:rPr>
            </w:pPr>
          </w:p>
        </w:tc>
      </w:tr>
      <w:tr w14:paraId="0239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0" w:type="pct"/>
          </w:tcPr>
          <w:p w14:paraId="4640A44A">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w:t>
            </w:r>
          </w:p>
        </w:tc>
        <w:tc>
          <w:tcPr>
            <w:tcW w:w="1254" w:type="pct"/>
            <w:vAlign w:val="center"/>
          </w:tcPr>
          <w:p w14:paraId="74EC0D98">
            <w:pPr>
              <w:spacing w:line="360" w:lineRule="auto"/>
              <w:jc w:val="left"/>
              <w:rPr>
                <w:rFonts w:ascii="仿宋" w:hAnsi="仿宋" w:eastAsia="仿宋" w:cs="Times New Roman"/>
                <w:color w:val="auto"/>
                <w:sz w:val="24"/>
                <w:szCs w:val="24"/>
                <w:highlight w:val="none"/>
              </w:rPr>
            </w:pPr>
          </w:p>
        </w:tc>
        <w:tc>
          <w:tcPr>
            <w:tcW w:w="1095" w:type="pct"/>
            <w:vAlign w:val="center"/>
          </w:tcPr>
          <w:p w14:paraId="0D29C675">
            <w:pPr>
              <w:spacing w:line="360" w:lineRule="auto"/>
              <w:jc w:val="left"/>
              <w:rPr>
                <w:rFonts w:ascii="仿宋" w:hAnsi="仿宋" w:eastAsia="仿宋" w:cs="Times New Roman"/>
                <w:color w:val="auto"/>
                <w:sz w:val="24"/>
                <w:szCs w:val="24"/>
                <w:highlight w:val="none"/>
              </w:rPr>
            </w:pPr>
          </w:p>
        </w:tc>
        <w:tc>
          <w:tcPr>
            <w:tcW w:w="1413" w:type="pct"/>
            <w:vAlign w:val="center"/>
          </w:tcPr>
          <w:p w14:paraId="676D2237">
            <w:pPr>
              <w:spacing w:line="360" w:lineRule="auto"/>
              <w:jc w:val="left"/>
              <w:rPr>
                <w:rFonts w:ascii="仿宋" w:hAnsi="仿宋" w:eastAsia="仿宋" w:cs="Times New Roman"/>
                <w:color w:val="auto"/>
                <w:sz w:val="24"/>
                <w:szCs w:val="24"/>
                <w:highlight w:val="none"/>
              </w:rPr>
            </w:pPr>
          </w:p>
        </w:tc>
        <w:tc>
          <w:tcPr>
            <w:tcW w:w="778" w:type="pct"/>
          </w:tcPr>
          <w:p w14:paraId="495939A4">
            <w:pPr>
              <w:spacing w:line="360" w:lineRule="auto"/>
              <w:jc w:val="left"/>
              <w:rPr>
                <w:rFonts w:ascii="仿宋" w:hAnsi="仿宋" w:eastAsia="仿宋" w:cs="Times New Roman"/>
                <w:color w:val="auto"/>
                <w:sz w:val="24"/>
                <w:szCs w:val="24"/>
                <w:highlight w:val="none"/>
              </w:rPr>
            </w:pPr>
          </w:p>
        </w:tc>
      </w:tr>
    </w:tbl>
    <w:p w14:paraId="759F359B">
      <w:pPr>
        <w:snapToGrid w:val="0"/>
        <w:spacing w:line="360" w:lineRule="auto"/>
        <w:contextualSpacing/>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w:t>
      </w:r>
    </w:p>
    <w:p w14:paraId="74151FC7">
      <w:pPr>
        <w:snapToGrid w:val="0"/>
        <w:spacing w:line="360" w:lineRule="auto"/>
        <w:ind w:firstLine="480" w:firstLineChars="200"/>
        <w:contextualSpacing/>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1.供应商提交的响应文件中与采购文件第三部分“项目需求”中的商务部分的要求，应逐条填列在偏离表中。</w:t>
      </w:r>
    </w:p>
    <w:p w14:paraId="4DEA8778">
      <w:pPr>
        <w:snapToGrid w:val="0"/>
        <w:spacing w:line="360" w:lineRule="auto"/>
        <w:ind w:firstLine="480" w:firstLineChars="200"/>
        <w:contextualSpacing/>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2.“偏离说明”一栏选择“正偏离”、“无偏离”、“负偏离”进行填写。正偏离、无偏离的确认和负偏离的是否响应招标文件，由评委认定。</w:t>
      </w:r>
    </w:p>
    <w:p w14:paraId="4C1DC3E6">
      <w:pPr>
        <w:snapToGrid w:val="0"/>
        <w:spacing w:line="360" w:lineRule="auto"/>
        <w:ind w:firstLine="480" w:firstLineChars="200"/>
        <w:contextualSpacing/>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3.供应商如果虚假响应，将被暂停参加采购人组织采购活动。</w:t>
      </w:r>
    </w:p>
    <w:p w14:paraId="704EB2FD">
      <w:pPr>
        <w:snapToGrid w:val="0"/>
        <w:spacing w:line="360" w:lineRule="auto"/>
        <w:ind w:firstLine="480" w:firstLineChars="200"/>
        <w:contextualSpacing/>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4.供应商若提供其他增值服务，可以在表中自行据实填写。</w:t>
      </w:r>
    </w:p>
    <w:p w14:paraId="662A46D0">
      <w:pPr>
        <w:widowControl/>
        <w:spacing w:line="360" w:lineRule="auto"/>
        <w:jc w:val="left"/>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br w:type="page"/>
      </w:r>
    </w:p>
    <w:p w14:paraId="619B93B4">
      <w:pPr>
        <w:snapToGrid w:val="0"/>
        <w:spacing w:line="360" w:lineRule="auto"/>
        <w:contextualSpacing/>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附件6</w:t>
      </w:r>
    </w:p>
    <w:p w14:paraId="71766BFA">
      <w:pPr>
        <w:snapToGrid w:val="0"/>
        <w:spacing w:line="360" w:lineRule="auto"/>
        <w:contextualSpacing/>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技术部分正负偏离表</w:t>
      </w:r>
    </w:p>
    <w:p w14:paraId="74FDEB1A">
      <w:pPr>
        <w:spacing w:line="360" w:lineRule="auto"/>
        <w:ind w:firstLine="480" w:firstLineChars="20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（由供应商据实填写，表格不够自行添加）</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258"/>
        <w:gridCol w:w="1972"/>
        <w:gridCol w:w="2544"/>
        <w:gridCol w:w="1401"/>
      </w:tblGrid>
      <w:tr w14:paraId="48BA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0" w:type="pct"/>
            <w:vAlign w:val="center"/>
          </w:tcPr>
          <w:p w14:paraId="1F28C2C7">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序号</w:t>
            </w:r>
          </w:p>
        </w:tc>
        <w:tc>
          <w:tcPr>
            <w:tcW w:w="1254" w:type="pct"/>
            <w:vAlign w:val="center"/>
          </w:tcPr>
          <w:p w14:paraId="2092282D">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货物或服务名称</w:t>
            </w:r>
          </w:p>
        </w:tc>
        <w:tc>
          <w:tcPr>
            <w:tcW w:w="1095" w:type="pct"/>
            <w:vAlign w:val="center"/>
          </w:tcPr>
          <w:p w14:paraId="5DF5AD95">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采购文件要求的技术要求</w:t>
            </w:r>
          </w:p>
        </w:tc>
        <w:tc>
          <w:tcPr>
            <w:tcW w:w="1413" w:type="pct"/>
            <w:vAlign w:val="center"/>
          </w:tcPr>
          <w:p w14:paraId="443845D9">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响应文件响应情况</w:t>
            </w:r>
          </w:p>
        </w:tc>
        <w:tc>
          <w:tcPr>
            <w:tcW w:w="778" w:type="pct"/>
          </w:tcPr>
          <w:p w14:paraId="2B10BD40">
            <w:pPr>
              <w:spacing w:line="360" w:lineRule="auto"/>
              <w:jc w:val="center"/>
              <w:rPr>
                <w:rFonts w:ascii="仿宋" w:hAnsi="仿宋" w:eastAsia="仿宋" w:cs="Times New Roman"/>
                <w:color w:val="auto"/>
                <w:sz w:val="24"/>
                <w:szCs w:val="24"/>
                <w:highlight w:val="none"/>
              </w:rPr>
            </w:pPr>
          </w:p>
          <w:p w14:paraId="57FB6F23">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偏离说明</w:t>
            </w:r>
          </w:p>
        </w:tc>
      </w:tr>
      <w:tr w14:paraId="2120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0" w:type="pct"/>
          </w:tcPr>
          <w:p w14:paraId="34C6922E">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w:t>
            </w:r>
          </w:p>
        </w:tc>
        <w:tc>
          <w:tcPr>
            <w:tcW w:w="1254" w:type="pct"/>
            <w:vAlign w:val="center"/>
          </w:tcPr>
          <w:p w14:paraId="6E00D7EF">
            <w:pPr>
              <w:spacing w:line="360" w:lineRule="auto"/>
              <w:jc w:val="left"/>
              <w:rPr>
                <w:rFonts w:ascii="仿宋" w:hAnsi="仿宋" w:eastAsia="仿宋" w:cs="Times New Roman"/>
                <w:color w:val="auto"/>
                <w:sz w:val="24"/>
                <w:szCs w:val="24"/>
                <w:highlight w:val="none"/>
              </w:rPr>
            </w:pPr>
          </w:p>
        </w:tc>
        <w:tc>
          <w:tcPr>
            <w:tcW w:w="1095" w:type="pct"/>
            <w:vAlign w:val="center"/>
          </w:tcPr>
          <w:p w14:paraId="0CC05EB6">
            <w:pPr>
              <w:spacing w:line="360" w:lineRule="auto"/>
              <w:jc w:val="left"/>
              <w:rPr>
                <w:rFonts w:ascii="仿宋" w:hAnsi="仿宋" w:eastAsia="仿宋" w:cs="Times New Roman"/>
                <w:color w:val="auto"/>
                <w:sz w:val="24"/>
                <w:szCs w:val="24"/>
                <w:highlight w:val="none"/>
              </w:rPr>
            </w:pPr>
          </w:p>
        </w:tc>
        <w:tc>
          <w:tcPr>
            <w:tcW w:w="1413" w:type="pct"/>
            <w:vAlign w:val="center"/>
          </w:tcPr>
          <w:p w14:paraId="04519F73">
            <w:pPr>
              <w:spacing w:line="360" w:lineRule="auto"/>
              <w:jc w:val="left"/>
              <w:rPr>
                <w:rFonts w:ascii="仿宋" w:hAnsi="仿宋" w:eastAsia="仿宋" w:cs="Times New Roman"/>
                <w:color w:val="auto"/>
                <w:sz w:val="24"/>
                <w:szCs w:val="24"/>
                <w:highlight w:val="none"/>
              </w:rPr>
            </w:pPr>
          </w:p>
        </w:tc>
        <w:tc>
          <w:tcPr>
            <w:tcW w:w="778" w:type="pct"/>
          </w:tcPr>
          <w:p w14:paraId="20045FDC">
            <w:pPr>
              <w:spacing w:line="360" w:lineRule="auto"/>
              <w:jc w:val="left"/>
              <w:rPr>
                <w:rFonts w:ascii="仿宋" w:hAnsi="仿宋" w:eastAsia="仿宋" w:cs="Times New Roman"/>
                <w:color w:val="auto"/>
                <w:sz w:val="24"/>
                <w:szCs w:val="24"/>
                <w:highlight w:val="none"/>
              </w:rPr>
            </w:pPr>
          </w:p>
        </w:tc>
      </w:tr>
      <w:tr w14:paraId="3F88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60" w:type="pct"/>
          </w:tcPr>
          <w:p w14:paraId="00772C50">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p>
        </w:tc>
        <w:tc>
          <w:tcPr>
            <w:tcW w:w="1254" w:type="pct"/>
            <w:vAlign w:val="center"/>
          </w:tcPr>
          <w:p w14:paraId="0D44845B">
            <w:pPr>
              <w:spacing w:line="360" w:lineRule="auto"/>
              <w:jc w:val="left"/>
              <w:rPr>
                <w:rFonts w:ascii="仿宋" w:hAnsi="仿宋" w:eastAsia="仿宋" w:cs="Times New Roman"/>
                <w:color w:val="auto"/>
                <w:sz w:val="24"/>
                <w:szCs w:val="24"/>
                <w:highlight w:val="none"/>
              </w:rPr>
            </w:pPr>
          </w:p>
        </w:tc>
        <w:tc>
          <w:tcPr>
            <w:tcW w:w="1095" w:type="pct"/>
            <w:vAlign w:val="center"/>
          </w:tcPr>
          <w:p w14:paraId="37E7FC48">
            <w:pPr>
              <w:spacing w:line="360" w:lineRule="auto"/>
              <w:jc w:val="left"/>
              <w:rPr>
                <w:rFonts w:ascii="仿宋" w:hAnsi="仿宋" w:eastAsia="仿宋" w:cs="Times New Roman"/>
                <w:color w:val="auto"/>
                <w:sz w:val="24"/>
                <w:szCs w:val="24"/>
                <w:highlight w:val="none"/>
              </w:rPr>
            </w:pPr>
          </w:p>
        </w:tc>
        <w:tc>
          <w:tcPr>
            <w:tcW w:w="1413" w:type="pct"/>
            <w:vAlign w:val="center"/>
          </w:tcPr>
          <w:p w14:paraId="52327F57">
            <w:pPr>
              <w:spacing w:line="360" w:lineRule="auto"/>
              <w:jc w:val="left"/>
              <w:rPr>
                <w:rFonts w:ascii="仿宋" w:hAnsi="仿宋" w:eastAsia="仿宋" w:cs="Times New Roman"/>
                <w:color w:val="auto"/>
                <w:sz w:val="24"/>
                <w:szCs w:val="24"/>
                <w:highlight w:val="none"/>
              </w:rPr>
            </w:pPr>
          </w:p>
        </w:tc>
        <w:tc>
          <w:tcPr>
            <w:tcW w:w="778" w:type="pct"/>
          </w:tcPr>
          <w:p w14:paraId="4B7CAB3D">
            <w:pPr>
              <w:spacing w:line="360" w:lineRule="auto"/>
              <w:jc w:val="left"/>
              <w:rPr>
                <w:rFonts w:ascii="仿宋" w:hAnsi="仿宋" w:eastAsia="仿宋" w:cs="Times New Roman"/>
                <w:color w:val="auto"/>
                <w:sz w:val="24"/>
                <w:szCs w:val="24"/>
                <w:highlight w:val="none"/>
              </w:rPr>
            </w:pPr>
          </w:p>
        </w:tc>
      </w:tr>
      <w:tr w14:paraId="483D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tcPr>
          <w:p w14:paraId="5C773463">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w:t>
            </w:r>
          </w:p>
        </w:tc>
        <w:tc>
          <w:tcPr>
            <w:tcW w:w="1254" w:type="pct"/>
            <w:vAlign w:val="center"/>
          </w:tcPr>
          <w:p w14:paraId="1CC630F2">
            <w:pPr>
              <w:spacing w:line="360" w:lineRule="auto"/>
              <w:jc w:val="left"/>
              <w:rPr>
                <w:rFonts w:ascii="仿宋" w:hAnsi="仿宋" w:eastAsia="仿宋" w:cs="Times New Roman"/>
                <w:color w:val="auto"/>
                <w:sz w:val="24"/>
                <w:szCs w:val="24"/>
                <w:highlight w:val="none"/>
              </w:rPr>
            </w:pPr>
          </w:p>
        </w:tc>
        <w:tc>
          <w:tcPr>
            <w:tcW w:w="1095" w:type="pct"/>
            <w:vAlign w:val="center"/>
          </w:tcPr>
          <w:p w14:paraId="320FB270">
            <w:pPr>
              <w:spacing w:line="360" w:lineRule="auto"/>
              <w:jc w:val="left"/>
              <w:rPr>
                <w:rFonts w:ascii="仿宋" w:hAnsi="仿宋" w:eastAsia="仿宋" w:cs="Times New Roman"/>
                <w:color w:val="auto"/>
                <w:sz w:val="24"/>
                <w:szCs w:val="24"/>
                <w:highlight w:val="none"/>
              </w:rPr>
            </w:pPr>
          </w:p>
        </w:tc>
        <w:tc>
          <w:tcPr>
            <w:tcW w:w="1413" w:type="pct"/>
            <w:vAlign w:val="center"/>
          </w:tcPr>
          <w:p w14:paraId="4D73BEB5">
            <w:pPr>
              <w:spacing w:line="360" w:lineRule="auto"/>
              <w:jc w:val="left"/>
              <w:rPr>
                <w:rFonts w:ascii="仿宋" w:hAnsi="仿宋" w:eastAsia="仿宋" w:cs="Times New Roman"/>
                <w:color w:val="auto"/>
                <w:sz w:val="24"/>
                <w:szCs w:val="24"/>
                <w:highlight w:val="none"/>
              </w:rPr>
            </w:pPr>
          </w:p>
        </w:tc>
        <w:tc>
          <w:tcPr>
            <w:tcW w:w="778" w:type="pct"/>
          </w:tcPr>
          <w:p w14:paraId="678E4B4A">
            <w:pPr>
              <w:spacing w:line="360" w:lineRule="auto"/>
              <w:jc w:val="left"/>
              <w:rPr>
                <w:rFonts w:ascii="仿宋" w:hAnsi="仿宋" w:eastAsia="仿宋" w:cs="Times New Roman"/>
                <w:color w:val="auto"/>
                <w:sz w:val="24"/>
                <w:szCs w:val="24"/>
                <w:highlight w:val="none"/>
              </w:rPr>
            </w:pPr>
          </w:p>
        </w:tc>
      </w:tr>
      <w:tr w14:paraId="4F59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0" w:type="pct"/>
          </w:tcPr>
          <w:p w14:paraId="71099F6E">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w:t>
            </w:r>
          </w:p>
        </w:tc>
        <w:tc>
          <w:tcPr>
            <w:tcW w:w="1254" w:type="pct"/>
            <w:vAlign w:val="center"/>
          </w:tcPr>
          <w:p w14:paraId="46520544">
            <w:pPr>
              <w:spacing w:line="360" w:lineRule="auto"/>
              <w:jc w:val="left"/>
              <w:rPr>
                <w:rFonts w:ascii="仿宋" w:hAnsi="仿宋" w:eastAsia="仿宋" w:cs="Times New Roman"/>
                <w:color w:val="auto"/>
                <w:sz w:val="24"/>
                <w:szCs w:val="24"/>
                <w:highlight w:val="none"/>
              </w:rPr>
            </w:pPr>
          </w:p>
        </w:tc>
        <w:tc>
          <w:tcPr>
            <w:tcW w:w="1095" w:type="pct"/>
            <w:vAlign w:val="center"/>
          </w:tcPr>
          <w:p w14:paraId="6409A0A5">
            <w:pPr>
              <w:spacing w:line="360" w:lineRule="auto"/>
              <w:jc w:val="left"/>
              <w:rPr>
                <w:rFonts w:ascii="仿宋" w:hAnsi="仿宋" w:eastAsia="仿宋" w:cs="Times New Roman"/>
                <w:color w:val="auto"/>
                <w:sz w:val="24"/>
                <w:szCs w:val="24"/>
                <w:highlight w:val="none"/>
              </w:rPr>
            </w:pPr>
          </w:p>
        </w:tc>
        <w:tc>
          <w:tcPr>
            <w:tcW w:w="1413" w:type="pct"/>
            <w:vAlign w:val="center"/>
          </w:tcPr>
          <w:p w14:paraId="11A069EA">
            <w:pPr>
              <w:spacing w:line="360" w:lineRule="auto"/>
              <w:jc w:val="left"/>
              <w:rPr>
                <w:rFonts w:ascii="仿宋" w:hAnsi="仿宋" w:eastAsia="仿宋" w:cs="Times New Roman"/>
                <w:color w:val="auto"/>
                <w:sz w:val="24"/>
                <w:szCs w:val="24"/>
                <w:highlight w:val="none"/>
              </w:rPr>
            </w:pPr>
          </w:p>
        </w:tc>
        <w:tc>
          <w:tcPr>
            <w:tcW w:w="778" w:type="pct"/>
          </w:tcPr>
          <w:p w14:paraId="61C2956B">
            <w:pPr>
              <w:spacing w:line="360" w:lineRule="auto"/>
              <w:jc w:val="left"/>
              <w:rPr>
                <w:rFonts w:ascii="仿宋" w:hAnsi="仿宋" w:eastAsia="仿宋" w:cs="Times New Roman"/>
                <w:color w:val="auto"/>
                <w:sz w:val="24"/>
                <w:szCs w:val="24"/>
                <w:highlight w:val="none"/>
              </w:rPr>
            </w:pPr>
          </w:p>
        </w:tc>
      </w:tr>
    </w:tbl>
    <w:p w14:paraId="12CCC2E0">
      <w:pPr>
        <w:snapToGrid w:val="0"/>
        <w:spacing w:line="360" w:lineRule="auto"/>
        <w:contextualSpacing/>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w:t>
      </w:r>
    </w:p>
    <w:p w14:paraId="40E42336">
      <w:pPr>
        <w:snapToGrid w:val="0"/>
        <w:spacing w:line="360" w:lineRule="auto"/>
        <w:ind w:firstLine="480" w:firstLineChars="200"/>
        <w:contextualSpacing/>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1.供应商提交的响应文件中与采购文件第三部分“项目需求”中的技术部分的要求，应逐条填列在偏离表中。</w:t>
      </w:r>
    </w:p>
    <w:p w14:paraId="5214B055">
      <w:pPr>
        <w:snapToGrid w:val="0"/>
        <w:spacing w:line="360" w:lineRule="auto"/>
        <w:ind w:firstLine="480" w:firstLineChars="200"/>
        <w:contextualSpacing/>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2.“偏离说明”一栏选择“正偏离”、“无偏离”、“负偏离”进行填写。正偏离、无偏离的确认和负偏离的是否响应招标文件，由评委认定。</w:t>
      </w:r>
    </w:p>
    <w:p w14:paraId="1633DC9C">
      <w:pPr>
        <w:snapToGrid w:val="0"/>
        <w:spacing w:line="360" w:lineRule="auto"/>
        <w:ind w:firstLine="480" w:firstLineChars="200"/>
        <w:contextualSpacing/>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3.供应商如果虚假响应，将被暂停参加采购人组织采购活动。</w:t>
      </w:r>
    </w:p>
    <w:p w14:paraId="17012BAF">
      <w:pPr>
        <w:snapToGrid w:val="0"/>
        <w:spacing w:line="360" w:lineRule="auto"/>
        <w:ind w:firstLine="480" w:firstLineChars="200"/>
        <w:contextualSpacing/>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4.供应商若提供其他增值服务，可以在表中自行据实填写。</w:t>
      </w:r>
    </w:p>
    <w:p w14:paraId="093B1C90">
      <w:pPr>
        <w:widowControl/>
        <w:spacing w:line="360" w:lineRule="auto"/>
        <w:jc w:val="left"/>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br w:type="page"/>
      </w:r>
    </w:p>
    <w:p w14:paraId="2905F89F">
      <w:pPr>
        <w:snapToGrid w:val="0"/>
        <w:spacing w:line="360" w:lineRule="auto"/>
        <w:contextualSpacing/>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附件7</w:t>
      </w:r>
    </w:p>
    <w:p w14:paraId="082B5EAB">
      <w:pPr>
        <w:widowControl/>
        <w:spacing w:line="360" w:lineRule="auto"/>
        <w:jc w:val="center"/>
        <w:rPr>
          <w:rFonts w:ascii="仿宋" w:hAnsi="仿宋" w:eastAsia="仿宋" w:cs="宋体"/>
          <w:color w:val="auto"/>
          <w:kern w:val="0"/>
          <w:sz w:val="24"/>
          <w:szCs w:val="24"/>
          <w:highlight w:val="none"/>
        </w:rPr>
      </w:pPr>
      <w:r>
        <w:rPr>
          <w:rFonts w:hint="eastAsia" w:ascii="仿宋" w:hAnsi="仿宋" w:eastAsia="仿宋" w:cs="宋体"/>
          <w:b/>
          <w:bCs/>
          <w:color w:val="auto"/>
          <w:kern w:val="0"/>
          <w:sz w:val="24"/>
          <w:szCs w:val="24"/>
          <w:highlight w:val="none"/>
        </w:rPr>
        <w:t>报价总表</w:t>
      </w:r>
    </w:p>
    <w:p w14:paraId="5B469283">
      <w:pPr>
        <w:spacing w:line="360" w:lineRule="auto"/>
        <w:rPr>
          <w:rFonts w:ascii="仿宋" w:hAnsi="仿宋" w:eastAsia="仿宋" w:cs="宋体"/>
          <w:color w:val="auto"/>
          <w:kern w:val="0"/>
          <w:sz w:val="24"/>
          <w:szCs w:val="24"/>
          <w:highlight w:val="none"/>
          <w:u w:val="single"/>
        </w:rPr>
      </w:pPr>
      <w:r>
        <w:rPr>
          <w:rFonts w:ascii="仿宋" w:hAnsi="仿宋" w:eastAsia="仿宋" w:cs="宋体"/>
          <w:color w:val="auto"/>
          <w:kern w:val="0"/>
          <w:sz w:val="24"/>
          <w:szCs w:val="24"/>
          <w:highlight w:val="none"/>
        </w:rPr>
        <w:t>供应商全称（加盖公章）：</w:t>
      </w:r>
    </w:p>
    <w:p w14:paraId="24916492">
      <w:pPr>
        <w:spacing w:line="360" w:lineRule="auto"/>
        <w:rPr>
          <w:rFonts w:ascii="仿宋" w:hAnsi="仿宋" w:eastAsia="仿宋" w:cs="宋体"/>
          <w:color w:val="auto"/>
          <w:kern w:val="0"/>
          <w:sz w:val="24"/>
          <w:szCs w:val="24"/>
          <w:highlight w:val="none"/>
          <w:u w:val="single"/>
        </w:rPr>
      </w:pPr>
      <w:r>
        <w:rPr>
          <w:rFonts w:ascii="仿宋" w:hAnsi="仿宋" w:eastAsia="仿宋" w:cs="宋体"/>
          <w:color w:val="auto"/>
          <w:kern w:val="0"/>
          <w:sz w:val="24"/>
          <w:szCs w:val="24"/>
          <w:highlight w:val="none"/>
        </w:rPr>
        <w:t>项目名称：</w:t>
      </w:r>
    </w:p>
    <w:p w14:paraId="208AB4FF">
      <w:pPr>
        <w:spacing w:line="360" w:lineRule="auto"/>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项目编号：</w:t>
      </w:r>
    </w:p>
    <w:p w14:paraId="11E2D01B">
      <w:pPr>
        <w:spacing w:line="360" w:lineRule="auto"/>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分包号：</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3C7C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73C85C82">
            <w:pPr>
              <w:spacing w:line="360" w:lineRule="auto"/>
              <w:jc w:val="center"/>
              <w:rPr>
                <w:rFonts w:ascii="仿宋" w:hAnsi="仿宋" w:eastAsia="仿宋" w:cs="Times New Roman"/>
                <w:color w:val="auto"/>
                <w:sz w:val="24"/>
                <w:szCs w:val="24"/>
                <w:highlight w:val="none"/>
              </w:rPr>
            </w:pPr>
            <w:r>
              <w:rPr>
                <w:rFonts w:hint="eastAsia" w:ascii="仿宋" w:hAnsi="仿宋" w:eastAsia="仿宋" w:cs="宋体"/>
                <w:color w:val="auto"/>
                <w:kern w:val="0"/>
                <w:sz w:val="24"/>
                <w:szCs w:val="24"/>
                <w:highlight w:val="none"/>
              </w:rPr>
              <w:t>询价</w:t>
            </w:r>
            <w:r>
              <w:rPr>
                <w:rFonts w:ascii="仿宋" w:hAnsi="仿宋" w:eastAsia="仿宋" w:cs="宋体"/>
                <w:color w:val="auto"/>
                <w:kern w:val="0"/>
                <w:sz w:val="24"/>
                <w:szCs w:val="24"/>
                <w:highlight w:val="none"/>
              </w:rPr>
              <w:t>货物名称</w:t>
            </w:r>
          </w:p>
        </w:tc>
        <w:tc>
          <w:tcPr>
            <w:tcW w:w="4607" w:type="dxa"/>
          </w:tcPr>
          <w:p w14:paraId="44034065">
            <w:pPr>
              <w:spacing w:line="360" w:lineRule="auto"/>
              <w:jc w:val="center"/>
              <w:rPr>
                <w:rFonts w:ascii="仿宋" w:hAnsi="仿宋" w:eastAsia="仿宋" w:cs="Times New Roman"/>
                <w:color w:val="auto"/>
                <w:sz w:val="24"/>
                <w:szCs w:val="24"/>
                <w:highlight w:val="none"/>
              </w:rPr>
            </w:pPr>
            <w:r>
              <w:rPr>
                <w:rFonts w:hint="eastAsia" w:ascii="仿宋" w:hAnsi="仿宋" w:eastAsia="仿宋" w:cs="宋体"/>
                <w:color w:val="auto"/>
                <w:kern w:val="0"/>
                <w:sz w:val="24"/>
                <w:szCs w:val="24"/>
                <w:highlight w:val="none"/>
              </w:rPr>
              <w:t>询价</w:t>
            </w:r>
            <w:r>
              <w:rPr>
                <w:rFonts w:ascii="仿宋" w:hAnsi="仿宋" w:eastAsia="仿宋" w:cs="宋体"/>
                <w:color w:val="auto"/>
                <w:kern w:val="0"/>
                <w:sz w:val="24"/>
                <w:szCs w:val="24"/>
                <w:highlight w:val="none"/>
              </w:rPr>
              <w:t>总报价</w:t>
            </w:r>
          </w:p>
        </w:tc>
      </w:tr>
      <w:tr w14:paraId="0EA4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14:paraId="0C6620AF">
            <w:pPr>
              <w:spacing w:line="360" w:lineRule="auto"/>
              <w:rPr>
                <w:rFonts w:ascii="仿宋" w:hAnsi="仿宋" w:eastAsia="仿宋" w:cs="Times New Roman"/>
                <w:color w:val="auto"/>
                <w:sz w:val="24"/>
                <w:szCs w:val="24"/>
                <w:highlight w:val="none"/>
              </w:rPr>
            </w:pPr>
          </w:p>
        </w:tc>
        <w:tc>
          <w:tcPr>
            <w:tcW w:w="4607" w:type="dxa"/>
          </w:tcPr>
          <w:p w14:paraId="617F13F5">
            <w:pPr>
              <w:spacing w:line="360" w:lineRule="auto"/>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大写：</w:t>
            </w:r>
          </w:p>
          <w:p w14:paraId="4A4E4C8C">
            <w:pPr>
              <w:spacing w:line="360" w:lineRule="auto"/>
              <w:rPr>
                <w:rFonts w:ascii="仿宋" w:hAnsi="仿宋" w:eastAsia="仿宋" w:cs="Times New Roman"/>
                <w:color w:val="auto"/>
                <w:sz w:val="24"/>
                <w:szCs w:val="24"/>
                <w:highlight w:val="none"/>
                <w:u w:val="single"/>
              </w:rPr>
            </w:pPr>
            <w:r>
              <w:rPr>
                <w:rFonts w:ascii="仿宋" w:hAnsi="仿宋" w:eastAsia="仿宋" w:cs="宋体"/>
                <w:color w:val="auto"/>
                <w:kern w:val="0"/>
                <w:sz w:val="24"/>
                <w:szCs w:val="24"/>
                <w:highlight w:val="none"/>
              </w:rPr>
              <w:t>小写：</w:t>
            </w:r>
            <w:r>
              <w:rPr>
                <w:rFonts w:hint="eastAsia" w:ascii="仿宋" w:hAnsi="仿宋" w:eastAsia="仿宋" w:cs="宋体"/>
                <w:color w:val="auto"/>
                <w:kern w:val="0"/>
                <w:sz w:val="24"/>
                <w:szCs w:val="24"/>
                <w:highlight w:val="none"/>
                <w:lang w:val="en-US" w:eastAsia="zh-CN"/>
              </w:rPr>
              <w:t>元</w:t>
            </w:r>
            <w:r>
              <w:rPr>
                <w:rFonts w:ascii="仿宋" w:hAnsi="仿宋" w:eastAsia="仿宋" w:cs="宋体"/>
                <w:color w:val="auto"/>
                <w:kern w:val="0"/>
                <w:sz w:val="24"/>
                <w:szCs w:val="24"/>
                <w:highlight w:val="none"/>
              </w:rPr>
              <w:t>（</w:t>
            </w:r>
            <w:r>
              <w:rPr>
                <w:rFonts w:hint="eastAsia" w:ascii="仿宋" w:hAnsi="仿宋" w:eastAsia="仿宋" w:cs="宋体"/>
                <w:color w:val="auto"/>
                <w:kern w:val="0"/>
                <w:sz w:val="24"/>
                <w:szCs w:val="24"/>
                <w:highlight w:val="none"/>
                <w:lang w:val="en-US" w:eastAsia="zh-CN"/>
              </w:rPr>
              <w:t>人民币</w:t>
            </w:r>
            <w:r>
              <w:rPr>
                <w:rFonts w:ascii="仿宋" w:hAnsi="仿宋" w:eastAsia="仿宋" w:cs="宋体"/>
                <w:color w:val="auto"/>
                <w:kern w:val="0"/>
                <w:sz w:val="24"/>
                <w:szCs w:val="24"/>
                <w:highlight w:val="none"/>
              </w:rPr>
              <w:t>）</w:t>
            </w:r>
          </w:p>
        </w:tc>
      </w:tr>
      <w:tr w14:paraId="5ED9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154A0188">
            <w:pPr>
              <w:spacing w:line="360" w:lineRule="auto"/>
              <w:rPr>
                <w:rFonts w:ascii="仿宋" w:hAnsi="仿宋" w:eastAsia="仿宋" w:cs="Times New Roman"/>
                <w:color w:val="auto"/>
                <w:sz w:val="24"/>
                <w:szCs w:val="24"/>
                <w:highlight w:val="none"/>
              </w:rPr>
            </w:pPr>
            <w:r>
              <w:rPr>
                <w:rFonts w:ascii="仿宋" w:hAnsi="仿宋" w:eastAsia="仿宋" w:cs="宋体"/>
                <w:color w:val="auto"/>
                <w:kern w:val="0"/>
                <w:sz w:val="24"/>
                <w:szCs w:val="24"/>
                <w:highlight w:val="none"/>
              </w:rPr>
              <w:t>主要货物制造商及产地</w:t>
            </w:r>
          </w:p>
        </w:tc>
        <w:tc>
          <w:tcPr>
            <w:tcW w:w="4607" w:type="dxa"/>
          </w:tcPr>
          <w:p w14:paraId="0B84955D">
            <w:pPr>
              <w:spacing w:line="360" w:lineRule="auto"/>
              <w:rPr>
                <w:rFonts w:ascii="仿宋" w:hAnsi="仿宋" w:eastAsia="仿宋" w:cs="Times New Roman"/>
                <w:color w:val="auto"/>
                <w:sz w:val="24"/>
                <w:szCs w:val="24"/>
                <w:highlight w:val="none"/>
              </w:rPr>
            </w:pPr>
          </w:p>
        </w:tc>
      </w:tr>
      <w:tr w14:paraId="738F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tcPr>
          <w:p w14:paraId="3ECDEA1E">
            <w:pPr>
              <w:spacing w:line="360" w:lineRule="auto"/>
              <w:rPr>
                <w:rFonts w:ascii="仿宋" w:hAnsi="仿宋" w:eastAsia="仿宋" w:cs="Times New Roman"/>
                <w:color w:val="auto"/>
                <w:sz w:val="24"/>
                <w:szCs w:val="24"/>
                <w:highlight w:val="none"/>
              </w:rPr>
            </w:pPr>
          </w:p>
        </w:tc>
        <w:tc>
          <w:tcPr>
            <w:tcW w:w="4607" w:type="dxa"/>
          </w:tcPr>
          <w:p w14:paraId="059BAFD9">
            <w:pPr>
              <w:spacing w:line="360" w:lineRule="auto"/>
              <w:rPr>
                <w:rFonts w:ascii="仿宋" w:hAnsi="仿宋" w:eastAsia="仿宋" w:cs="Times New Roman"/>
                <w:color w:val="auto"/>
                <w:sz w:val="24"/>
                <w:szCs w:val="24"/>
                <w:highlight w:val="none"/>
              </w:rPr>
            </w:pPr>
          </w:p>
        </w:tc>
      </w:tr>
    </w:tbl>
    <w:p w14:paraId="553E5B91">
      <w:pPr>
        <w:spacing w:line="360" w:lineRule="auto"/>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日期：</w:t>
      </w:r>
    </w:p>
    <w:p w14:paraId="14C7C96D">
      <w:pPr>
        <w:spacing w:line="360" w:lineRule="auto"/>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填写说明：</w:t>
      </w:r>
    </w:p>
    <w:p w14:paraId="4F57D2D9">
      <w:pPr>
        <w:spacing w:line="360"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w:t>
      </w:r>
      <w:r>
        <w:rPr>
          <w:rFonts w:ascii="仿宋" w:hAnsi="仿宋" w:eastAsia="仿宋" w:cs="宋体"/>
          <w:color w:val="auto"/>
          <w:kern w:val="0"/>
          <w:sz w:val="24"/>
          <w:szCs w:val="24"/>
          <w:highlight w:val="none"/>
        </w:rPr>
        <w:t>、</w:t>
      </w:r>
      <w:r>
        <w:rPr>
          <w:rFonts w:hint="eastAsia" w:ascii="仿宋" w:hAnsi="仿宋" w:eastAsia="仿宋" w:cs="宋体"/>
          <w:color w:val="auto"/>
          <w:kern w:val="0"/>
          <w:sz w:val="24"/>
          <w:szCs w:val="24"/>
          <w:highlight w:val="none"/>
        </w:rPr>
        <w:t>报价总表</w:t>
      </w:r>
      <w:r>
        <w:rPr>
          <w:rFonts w:ascii="仿宋" w:hAnsi="仿宋" w:eastAsia="仿宋" w:cs="宋体"/>
          <w:color w:val="auto"/>
          <w:kern w:val="0"/>
          <w:sz w:val="24"/>
          <w:szCs w:val="24"/>
          <w:highlight w:val="none"/>
        </w:rPr>
        <w:t>必须加盖</w:t>
      </w:r>
      <w:r>
        <w:rPr>
          <w:rFonts w:hint="eastAsia" w:ascii="仿宋" w:hAnsi="仿宋" w:eastAsia="仿宋" w:cs="宋体"/>
          <w:color w:val="auto"/>
          <w:kern w:val="0"/>
          <w:sz w:val="24"/>
          <w:szCs w:val="24"/>
          <w:highlight w:val="none"/>
        </w:rPr>
        <w:t>供应商</w:t>
      </w:r>
      <w:r>
        <w:rPr>
          <w:rFonts w:ascii="仿宋" w:hAnsi="仿宋" w:eastAsia="仿宋" w:cs="宋体"/>
          <w:color w:val="auto"/>
          <w:kern w:val="0"/>
          <w:sz w:val="24"/>
          <w:szCs w:val="24"/>
          <w:highlight w:val="none"/>
        </w:rPr>
        <w:t>公章（复印件无效）。</w:t>
      </w:r>
    </w:p>
    <w:p w14:paraId="578F6BE9">
      <w:pPr>
        <w:spacing w:line="360"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w:t>
      </w:r>
      <w:r>
        <w:rPr>
          <w:rFonts w:ascii="仿宋" w:hAnsi="仿宋" w:eastAsia="仿宋" w:cs="宋体"/>
          <w:color w:val="auto"/>
          <w:kern w:val="0"/>
          <w:sz w:val="24"/>
          <w:szCs w:val="24"/>
          <w:highlight w:val="none"/>
        </w:rPr>
        <w:t>、如有分包，供应商</w:t>
      </w:r>
      <w:r>
        <w:rPr>
          <w:rFonts w:hint="eastAsia" w:ascii="仿宋" w:hAnsi="仿宋" w:eastAsia="仿宋" w:cs="宋体"/>
          <w:color w:val="auto"/>
          <w:kern w:val="0"/>
          <w:sz w:val="24"/>
          <w:szCs w:val="24"/>
          <w:highlight w:val="none"/>
        </w:rPr>
        <w:t>参与</w:t>
      </w:r>
      <w:r>
        <w:rPr>
          <w:rFonts w:ascii="仿宋" w:hAnsi="仿宋" w:eastAsia="仿宋" w:cs="宋体"/>
          <w:color w:val="auto"/>
          <w:kern w:val="0"/>
          <w:sz w:val="24"/>
          <w:szCs w:val="24"/>
          <w:highlight w:val="none"/>
        </w:rPr>
        <w:t>任何一个包的标的，都需单独填写</w:t>
      </w:r>
      <w:r>
        <w:rPr>
          <w:rFonts w:hint="eastAsia" w:ascii="仿宋" w:hAnsi="仿宋" w:eastAsia="仿宋" w:cs="宋体"/>
          <w:color w:val="auto"/>
          <w:kern w:val="0"/>
          <w:sz w:val="24"/>
          <w:szCs w:val="24"/>
          <w:highlight w:val="none"/>
        </w:rPr>
        <w:t>报价总表</w:t>
      </w:r>
      <w:r>
        <w:rPr>
          <w:rFonts w:ascii="仿宋" w:hAnsi="仿宋" w:eastAsia="仿宋" w:cs="宋体"/>
          <w:color w:val="auto"/>
          <w:kern w:val="0"/>
          <w:sz w:val="24"/>
          <w:szCs w:val="24"/>
          <w:highlight w:val="none"/>
        </w:rPr>
        <w:t>。</w:t>
      </w:r>
    </w:p>
    <w:p w14:paraId="00E47802">
      <w:pPr>
        <w:widowControl/>
        <w:spacing w:line="360" w:lineRule="auto"/>
        <w:jc w:val="left"/>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br w:type="page"/>
      </w:r>
    </w:p>
    <w:p w14:paraId="55ADC6F5">
      <w:pPr>
        <w:snapToGrid w:val="0"/>
        <w:spacing w:line="360" w:lineRule="auto"/>
        <w:contextualSpacing/>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附件8</w:t>
      </w:r>
    </w:p>
    <w:p w14:paraId="63D0A4E8">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b/>
          <w:bCs/>
          <w:color w:val="auto"/>
          <w:sz w:val="24"/>
          <w:szCs w:val="24"/>
          <w:highlight w:val="none"/>
        </w:rPr>
        <w:t>分项报价明细表（货物类）</w:t>
      </w:r>
    </w:p>
    <w:p w14:paraId="5BDC79A0">
      <w:pPr>
        <w:snapToGrid w:val="0"/>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供应商（盖章）：</w:t>
      </w:r>
    </w:p>
    <w:tbl>
      <w:tblPr>
        <w:tblStyle w:val="17"/>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340"/>
        <w:gridCol w:w="1211"/>
        <w:gridCol w:w="1276"/>
        <w:gridCol w:w="992"/>
        <w:gridCol w:w="851"/>
        <w:gridCol w:w="850"/>
        <w:gridCol w:w="851"/>
        <w:gridCol w:w="1403"/>
      </w:tblGrid>
      <w:tr w14:paraId="4DBF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37" w:type="dxa"/>
            <w:vAlign w:val="center"/>
          </w:tcPr>
          <w:p w14:paraId="59CF0EAF">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序号</w:t>
            </w:r>
          </w:p>
        </w:tc>
        <w:tc>
          <w:tcPr>
            <w:tcW w:w="1340" w:type="dxa"/>
            <w:vAlign w:val="center"/>
          </w:tcPr>
          <w:p w14:paraId="08877A57">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名称</w:t>
            </w:r>
          </w:p>
        </w:tc>
        <w:tc>
          <w:tcPr>
            <w:tcW w:w="1211" w:type="dxa"/>
            <w:vAlign w:val="center"/>
          </w:tcPr>
          <w:p w14:paraId="00B91E4E">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规格型号</w:t>
            </w:r>
          </w:p>
        </w:tc>
        <w:tc>
          <w:tcPr>
            <w:tcW w:w="1276" w:type="dxa"/>
            <w:vAlign w:val="center"/>
          </w:tcPr>
          <w:p w14:paraId="507C56DB">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品牌</w:t>
            </w:r>
          </w:p>
        </w:tc>
        <w:tc>
          <w:tcPr>
            <w:tcW w:w="992" w:type="dxa"/>
            <w:vAlign w:val="center"/>
          </w:tcPr>
          <w:p w14:paraId="60588913">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单位</w:t>
            </w:r>
          </w:p>
        </w:tc>
        <w:tc>
          <w:tcPr>
            <w:tcW w:w="851" w:type="dxa"/>
            <w:vAlign w:val="center"/>
          </w:tcPr>
          <w:p w14:paraId="1BD5B9B1">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数量</w:t>
            </w:r>
          </w:p>
        </w:tc>
        <w:tc>
          <w:tcPr>
            <w:tcW w:w="850" w:type="dxa"/>
            <w:vAlign w:val="center"/>
          </w:tcPr>
          <w:p w14:paraId="50BF3438">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单价</w:t>
            </w:r>
          </w:p>
        </w:tc>
        <w:tc>
          <w:tcPr>
            <w:tcW w:w="851" w:type="dxa"/>
            <w:vAlign w:val="center"/>
          </w:tcPr>
          <w:p w14:paraId="0007BFC8">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金额</w:t>
            </w:r>
          </w:p>
        </w:tc>
        <w:tc>
          <w:tcPr>
            <w:tcW w:w="1403" w:type="dxa"/>
            <w:vAlign w:val="center"/>
          </w:tcPr>
          <w:p w14:paraId="0E5D83ED">
            <w:pPr>
              <w:snapToGrid w:val="0"/>
              <w:spacing w:line="360" w:lineRule="auto"/>
              <w:ind w:firstLine="120" w:firstLineChars="50"/>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备注</w:t>
            </w:r>
          </w:p>
        </w:tc>
      </w:tr>
      <w:tr w14:paraId="5A61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37" w:type="dxa"/>
            <w:vAlign w:val="center"/>
          </w:tcPr>
          <w:p w14:paraId="1A09C603">
            <w:pPr>
              <w:snapToGrid w:val="0"/>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w:t>
            </w:r>
          </w:p>
        </w:tc>
        <w:tc>
          <w:tcPr>
            <w:tcW w:w="1340" w:type="dxa"/>
            <w:vAlign w:val="center"/>
          </w:tcPr>
          <w:p w14:paraId="6563C33F">
            <w:pPr>
              <w:snapToGrid w:val="0"/>
              <w:spacing w:line="360" w:lineRule="auto"/>
              <w:jc w:val="center"/>
              <w:rPr>
                <w:rFonts w:ascii="仿宋" w:hAnsi="仿宋" w:eastAsia="仿宋" w:cs="Times New Roman"/>
                <w:color w:val="auto"/>
                <w:sz w:val="24"/>
                <w:szCs w:val="24"/>
                <w:highlight w:val="none"/>
              </w:rPr>
            </w:pPr>
          </w:p>
        </w:tc>
        <w:tc>
          <w:tcPr>
            <w:tcW w:w="1211" w:type="dxa"/>
            <w:vAlign w:val="center"/>
          </w:tcPr>
          <w:p w14:paraId="679D4AB2">
            <w:pPr>
              <w:snapToGrid w:val="0"/>
              <w:spacing w:line="360" w:lineRule="auto"/>
              <w:jc w:val="center"/>
              <w:rPr>
                <w:rFonts w:ascii="仿宋" w:hAnsi="仿宋" w:eastAsia="仿宋" w:cs="Times New Roman"/>
                <w:color w:val="auto"/>
                <w:sz w:val="24"/>
                <w:szCs w:val="24"/>
                <w:highlight w:val="none"/>
              </w:rPr>
            </w:pPr>
          </w:p>
        </w:tc>
        <w:tc>
          <w:tcPr>
            <w:tcW w:w="1276" w:type="dxa"/>
            <w:vAlign w:val="center"/>
          </w:tcPr>
          <w:p w14:paraId="7FA67491">
            <w:pPr>
              <w:snapToGrid w:val="0"/>
              <w:spacing w:line="360" w:lineRule="auto"/>
              <w:jc w:val="center"/>
              <w:rPr>
                <w:rFonts w:ascii="仿宋" w:hAnsi="仿宋" w:eastAsia="仿宋" w:cs="Times New Roman"/>
                <w:color w:val="auto"/>
                <w:sz w:val="24"/>
                <w:szCs w:val="24"/>
                <w:highlight w:val="none"/>
              </w:rPr>
            </w:pPr>
          </w:p>
        </w:tc>
        <w:tc>
          <w:tcPr>
            <w:tcW w:w="992" w:type="dxa"/>
            <w:vAlign w:val="center"/>
          </w:tcPr>
          <w:p w14:paraId="12AD7C06">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14:paraId="17AAD03F">
            <w:pPr>
              <w:snapToGrid w:val="0"/>
              <w:spacing w:line="360" w:lineRule="auto"/>
              <w:jc w:val="center"/>
              <w:rPr>
                <w:rFonts w:ascii="仿宋" w:hAnsi="仿宋" w:eastAsia="仿宋" w:cs="Times New Roman"/>
                <w:color w:val="auto"/>
                <w:sz w:val="24"/>
                <w:szCs w:val="24"/>
                <w:highlight w:val="none"/>
              </w:rPr>
            </w:pPr>
          </w:p>
        </w:tc>
        <w:tc>
          <w:tcPr>
            <w:tcW w:w="850" w:type="dxa"/>
            <w:vAlign w:val="center"/>
          </w:tcPr>
          <w:p w14:paraId="590881FB">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14:paraId="3173B86B">
            <w:pPr>
              <w:snapToGrid w:val="0"/>
              <w:spacing w:line="360" w:lineRule="auto"/>
              <w:jc w:val="center"/>
              <w:rPr>
                <w:rFonts w:ascii="仿宋" w:hAnsi="仿宋" w:eastAsia="仿宋" w:cs="Times New Roman"/>
                <w:color w:val="auto"/>
                <w:sz w:val="24"/>
                <w:szCs w:val="24"/>
                <w:highlight w:val="none"/>
              </w:rPr>
            </w:pPr>
          </w:p>
        </w:tc>
        <w:tc>
          <w:tcPr>
            <w:tcW w:w="1403" w:type="dxa"/>
            <w:vAlign w:val="center"/>
          </w:tcPr>
          <w:p w14:paraId="1FA18BE0">
            <w:pPr>
              <w:snapToGrid w:val="0"/>
              <w:spacing w:line="360" w:lineRule="auto"/>
              <w:jc w:val="center"/>
              <w:rPr>
                <w:rFonts w:ascii="仿宋" w:hAnsi="仿宋" w:eastAsia="仿宋" w:cs="Times New Roman"/>
                <w:color w:val="auto"/>
                <w:sz w:val="24"/>
                <w:szCs w:val="24"/>
                <w:highlight w:val="none"/>
              </w:rPr>
            </w:pPr>
          </w:p>
        </w:tc>
      </w:tr>
      <w:tr w14:paraId="6936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37" w:type="dxa"/>
            <w:vAlign w:val="center"/>
          </w:tcPr>
          <w:p w14:paraId="3760BC4D">
            <w:pPr>
              <w:snapToGrid w:val="0"/>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p>
        </w:tc>
        <w:tc>
          <w:tcPr>
            <w:tcW w:w="1340" w:type="dxa"/>
            <w:vAlign w:val="center"/>
          </w:tcPr>
          <w:p w14:paraId="62BF2C18">
            <w:pPr>
              <w:snapToGrid w:val="0"/>
              <w:spacing w:line="360" w:lineRule="auto"/>
              <w:jc w:val="center"/>
              <w:rPr>
                <w:rFonts w:ascii="仿宋" w:hAnsi="仿宋" w:eastAsia="仿宋" w:cs="Times New Roman"/>
                <w:color w:val="auto"/>
                <w:sz w:val="24"/>
                <w:szCs w:val="24"/>
                <w:highlight w:val="none"/>
              </w:rPr>
            </w:pPr>
          </w:p>
        </w:tc>
        <w:tc>
          <w:tcPr>
            <w:tcW w:w="1211" w:type="dxa"/>
            <w:vAlign w:val="center"/>
          </w:tcPr>
          <w:p w14:paraId="4E392EC2">
            <w:pPr>
              <w:snapToGrid w:val="0"/>
              <w:spacing w:line="360" w:lineRule="auto"/>
              <w:jc w:val="center"/>
              <w:rPr>
                <w:rFonts w:ascii="仿宋" w:hAnsi="仿宋" w:eastAsia="仿宋" w:cs="Times New Roman"/>
                <w:color w:val="auto"/>
                <w:sz w:val="24"/>
                <w:szCs w:val="24"/>
                <w:highlight w:val="none"/>
              </w:rPr>
            </w:pPr>
          </w:p>
        </w:tc>
        <w:tc>
          <w:tcPr>
            <w:tcW w:w="1276" w:type="dxa"/>
            <w:vAlign w:val="center"/>
          </w:tcPr>
          <w:p w14:paraId="1CFCDC18">
            <w:pPr>
              <w:snapToGrid w:val="0"/>
              <w:spacing w:line="360" w:lineRule="auto"/>
              <w:jc w:val="center"/>
              <w:rPr>
                <w:rFonts w:ascii="仿宋" w:hAnsi="仿宋" w:eastAsia="仿宋" w:cs="Times New Roman"/>
                <w:color w:val="auto"/>
                <w:sz w:val="24"/>
                <w:szCs w:val="24"/>
                <w:highlight w:val="none"/>
              </w:rPr>
            </w:pPr>
          </w:p>
        </w:tc>
        <w:tc>
          <w:tcPr>
            <w:tcW w:w="992" w:type="dxa"/>
            <w:vAlign w:val="center"/>
          </w:tcPr>
          <w:p w14:paraId="4A28A052">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14:paraId="6D170D23">
            <w:pPr>
              <w:snapToGrid w:val="0"/>
              <w:spacing w:line="360" w:lineRule="auto"/>
              <w:jc w:val="center"/>
              <w:rPr>
                <w:rFonts w:ascii="仿宋" w:hAnsi="仿宋" w:eastAsia="仿宋" w:cs="Times New Roman"/>
                <w:color w:val="auto"/>
                <w:sz w:val="24"/>
                <w:szCs w:val="24"/>
                <w:highlight w:val="none"/>
              </w:rPr>
            </w:pPr>
          </w:p>
        </w:tc>
        <w:tc>
          <w:tcPr>
            <w:tcW w:w="850" w:type="dxa"/>
            <w:vAlign w:val="center"/>
          </w:tcPr>
          <w:p w14:paraId="7FDD15C5">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14:paraId="60CFAD34">
            <w:pPr>
              <w:snapToGrid w:val="0"/>
              <w:spacing w:line="360" w:lineRule="auto"/>
              <w:jc w:val="center"/>
              <w:rPr>
                <w:rFonts w:ascii="仿宋" w:hAnsi="仿宋" w:eastAsia="仿宋" w:cs="Times New Roman"/>
                <w:color w:val="auto"/>
                <w:sz w:val="24"/>
                <w:szCs w:val="24"/>
                <w:highlight w:val="none"/>
              </w:rPr>
            </w:pPr>
          </w:p>
        </w:tc>
        <w:tc>
          <w:tcPr>
            <w:tcW w:w="1403" w:type="dxa"/>
            <w:vAlign w:val="center"/>
          </w:tcPr>
          <w:p w14:paraId="6AA52B03">
            <w:pPr>
              <w:snapToGrid w:val="0"/>
              <w:spacing w:line="360" w:lineRule="auto"/>
              <w:jc w:val="center"/>
              <w:rPr>
                <w:rFonts w:ascii="仿宋" w:hAnsi="仿宋" w:eastAsia="仿宋" w:cs="Times New Roman"/>
                <w:color w:val="auto"/>
                <w:sz w:val="24"/>
                <w:szCs w:val="24"/>
                <w:highlight w:val="none"/>
              </w:rPr>
            </w:pPr>
          </w:p>
        </w:tc>
      </w:tr>
      <w:tr w14:paraId="3D15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14:paraId="3AA4DD8A">
            <w:pPr>
              <w:snapToGrid w:val="0"/>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w:t>
            </w:r>
          </w:p>
        </w:tc>
        <w:tc>
          <w:tcPr>
            <w:tcW w:w="1340" w:type="dxa"/>
            <w:vAlign w:val="center"/>
          </w:tcPr>
          <w:p w14:paraId="23AD5C34">
            <w:pPr>
              <w:snapToGrid w:val="0"/>
              <w:spacing w:line="360" w:lineRule="auto"/>
              <w:jc w:val="center"/>
              <w:rPr>
                <w:rFonts w:ascii="仿宋" w:hAnsi="仿宋" w:eastAsia="仿宋" w:cs="Times New Roman"/>
                <w:color w:val="auto"/>
                <w:sz w:val="24"/>
                <w:szCs w:val="24"/>
                <w:highlight w:val="none"/>
              </w:rPr>
            </w:pPr>
          </w:p>
        </w:tc>
        <w:tc>
          <w:tcPr>
            <w:tcW w:w="1211" w:type="dxa"/>
            <w:vAlign w:val="center"/>
          </w:tcPr>
          <w:p w14:paraId="4C675065">
            <w:pPr>
              <w:snapToGrid w:val="0"/>
              <w:spacing w:line="360" w:lineRule="auto"/>
              <w:jc w:val="center"/>
              <w:rPr>
                <w:rFonts w:ascii="仿宋" w:hAnsi="仿宋" w:eastAsia="仿宋" w:cs="Times New Roman"/>
                <w:color w:val="auto"/>
                <w:sz w:val="24"/>
                <w:szCs w:val="24"/>
                <w:highlight w:val="none"/>
              </w:rPr>
            </w:pPr>
          </w:p>
        </w:tc>
        <w:tc>
          <w:tcPr>
            <w:tcW w:w="1276" w:type="dxa"/>
            <w:vAlign w:val="center"/>
          </w:tcPr>
          <w:p w14:paraId="7CE1B2F0">
            <w:pPr>
              <w:snapToGrid w:val="0"/>
              <w:spacing w:line="360" w:lineRule="auto"/>
              <w:jc w:val="center"/>
              <w:rPr>
                <w:rFonts w:ascii="仿宋" w:hAnsi="仿宋" w:eastAsia="仿宋" w:cs="Times New Roman"/>
                <w:color w:val="auto"/>
                <w:sz w:val="24"/>
                <w:szCs w:val="24"/>
                <w:highlight w:val="none"/>
              </w:rPr>
            </w:pPr>
          </w:p>
        </w:tc>
        <w:tc>
          <w:tcPr>
            <w:tcW w:w="992" w:type="dxa"/>
            <w:vAlign w:val="center"/>
          </w:tcPr>
          <w:p w14:paraId="0E971849">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14:paraId="159EB996">
            <w:pPr>
              <w:snapToGrid w:val="0"/>
              <w:spacing w:line="360" w:lineRule="auto"/>
              <w:jc w:val="center"/>
              <w:rPr>
                <w:rFonts w:ascii="仿宋" w:hAnsi="仿宋" w:eastAsia="仿宋" w:cs="Times New Roman"/>
                <w:color w:val="auto"/>
                <w:sz w:val="24"/>
                <w:szCs w:val="24"/>
                <w:highlight w:val="none"/>
              </w:rPr>
            </w:pPr>
          </w:p>
        </w:tc>
        <w:tc>
          <w:tcPr>
            <w:tcW w:w="850" w:type="dxa"/>
            <w:vAlign w:val="center"/>
          </w:tcPr>
          <w:p w14:paraId="6B5156F8">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14:paraId="318562AD">
            <w:pPr>
              <w:snapToGrid w:val="0"/>
              <w:spacing w:line="360" w:lineRule="auto"/>
              <w:jc w:val="center"/>
              <w:rPr>
                <w:rFonts w:ascii="仿宋" w:hAnsi="仿宋" w:eastAsia="仿宋" w:cs="Times New Roman"/>
                <w:color w:val="auto"/>
                <w:sz w:val="24"/>
                <w:szCs w:val="24"/>
                <w:highlight w:val="none"/>
              </w:rPr>
            </w:pPr>
          </w:p>
        </w:tc>
        <w:tc>
          <w:tcPr>
            <w:tcW w:w="1403" w:type="dxa"/>
            <w:vAlign w:val="center"/>
          </w:tcPr>
          <w:p w14:paraId="36E86112">
            <w:pPr>
              <w:snapToGrid w:val="0"/>
              <w:spacing w:line="360" w:lineRule="auto"/>
              <w:jc w:val="center"/>
              <w:rPr>
                <w:rFonts w:ascii="仿宋" w:hAnsi="仿宋" w:eastAsia="仿宋" w:cs="Times New Roman"/>
                <w:color w:val="auto"/>
                <w:sz w:val="24"/>
                <w:szCs w:val="24"/>
                <w:highlight w:val="none"/>
              </w:rPr>
            </w:pPr>
          </w:p>
        </w:tc>
      </w:tr>
      <w:tr w14:paraId="77B8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14:paraId="66EE2D05">
            <w:pPr>
              <w:snapToGrid w:val="0"/>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w:t>
            </w:r>
          </w:p>
        </w:tc>
        <w:tc>
          <w:tcPr>
            <w:tcW w:w="1340" w:type="dxa"/>
            <w:vAlign w:val="center"/>
          </w:tcPr>
          <w:p w14:paraId="381711D9">
            <w:pPr>
              <w:snapToGrid w:val="0"/>
              <w:spacing w:line="360" w:lineRule="auto"/>
              <w:jc w:val="center"/>
              <w:rPr>
                <w:rFonts w:ascii="仿宋" w:hAnsi="仿宋" w:eastAsia="仿宋" w:cs="Times New Roman"/>
                <w:color w:val="auto"/>
                <w:sz w:val="24"/>
                <w:szCs w:val="24"/>
                <w:highlight w:val="none"/>
              </w:rPr>
            </w:pPr>
          </w:p>
        </w:tc>
        <w:tc>
          <w:tcPr>
            <w:tcW w:w="1211" w:type="dxa"/>
            <w:vAlign w:val="center"/>
          </w:tcPr>
          <w:p w14:paraId="5769F6CD">
            <w:pPr>
              <w:snapToGrid w:val="0"/>
              <w:spacing w:line="360" w:lineRule="auto"/>
              <w:jc w:val="center"/>
              <w:rPr>
                <w:rFonts w:ascii="仿宋" w:hAnsi="仿宋" w:eastAsia="仿宋" w:cs="Times New Roman"/>
                <w:color w:val="auto"/>
                <w:sz w:val="24"/>
                <w:szCs w:val="24"/>
                <w:highlight w:val="none"/>
              </w:rPr>
            </w:pPr>
          </w:p>
        </w:tc>
        <w:tc>
          <w:tcPr>
            <w:tcW w:w="1276" w:type="dxa"/>
            <w:vAlign w:val="center"/>
          </w:tcPr>
          <w:p w14:paraId="2D918845">
            <w:pPr>
              <w:snapToGrid w:val="0"/>
              <w:spacing w:line="360" w:lineRule="auto"/>
              <w:jc w:val="center"/>
              <w:rPr>
                <w:rFonts w:ascii="仿宋" w:hAnsi="仿宋" w:eastAsia="仿宋" w:cs="Times New Roman"/>
                <w:color w:val="auto"/>
                <w:sz w:val="24"/>
                <w:szCs w:val="24"/>
                <w:highlight w:val="none"/>
              </w:rPr>
            </w:pPr>
          </w:p>
        </w:tc>
        <w:tc>
          <w:tcPr>
            <w:tcW w:w="992" w:type="dxa"/>
            <w:vAlign w:val="center"/>
          </w:tcPr>
          <w:p w14:paraId="1AD8D8E6">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14:paraId="54FE8B08">
            <w:pPr>
              <w:snapToGrid w:val="0"/>
              <w:spacing w:line="360" w:lineRule="auto"/>
              <w:jc w:val="center"/>
              <w:rPr>
                <w:rFonts w:ascii="仿宋" w:hAnsi="仿宋" w:eastAsia="仿宋" w:cs="Times New Roman"/>
                <w:color w:val="auto"/>
                <w:sz w:val="24"/>
                <w:szCs w:val="24"/>
                <w:highlight w:val="none"/>
              </w:rPr>
            </w:pPr>
          </w:p>
        </w:tc>
        <w:tc>
          <w:tcPr>
            <w:tcW w:w="850" w:type="dxa"/>
            <w:vAlign w:val="center"/>
          </w:tcPr>
          <w:p w14:paraId="64CAF45C">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14:paraId="62E1F776">
            <w:pPr>
              <w:snapToGrid w:val="0"/>
              <w:spacing w:line="360" w:lineRule="auto"/>
              <w:jc w:val="center"/>
              <w:rPr>
                <w:rFonts w:ascii="仿宋" w:hAnsi="仿宋" w:eastAsia="仿宋" w:cs="Times New Roman"/>
                <w:color w:val="auto"/>
                <w:sz w:val="24"/>
                <w:szCs w:val="24"/>
                <w:highlight w:val="none"/>
              </w:rPr>
            </w:pPr>
          </w:p>
        </w:tc>
        <w:tc>
          <w:tcPr>
            <w:tcW w:w="1403" w:type="dxa"/>
            <w:vAlign w:val="center"/>
          </w:tcPr>
          <w:p w14:paraId="4885DBA4">
            <w:pPr>
              <w:snapToGrid w:val="0"/>
              <w:spacing w:line="360" w:lineRule="auto"/>
              <w:jc w:val="center"/>
              <w:rPr>
                <w:rFonts w:ascii="仿宋" w:hAnsi="仿宋" w:eastAsia="仿宋" w:cs="Times New Roman"/>
                <w:color w:val="auto"/>
                <w:sz w:val="24"/>
                <w:szCs w:val="24"/>
                <w:highlight w:val="none"/>
              </w:rPr>
            </w:pPr>
          </w:p>
        </w:tc>
      </w:tr>
      <w:tr w14:paraId="4C76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14:paraId="44F3D245">
            <w:pPr>
              <w:snapToGrid w:val="0"/>
              <w:spacing w:line="360" w:lineRule="auto"/>
              <w:jc w:val="center"/>
              <w:rPr>
                <w:rFonts w:ascii="仿宋" w:hAnsi="仿宋" w:eastAsia="仿宋" w:cs="Times New Roman"/>
                <w:color w:val="auto"/>
                <w:sz w:val="24"/>
                <w:szCs w:val="24"/>
                <w:highlight w:val="none"/>
              </w:rPr>
            </w:pPr>
          </w:p>
        </w:tc>
        <w:tc>
          <w:tcPr>
            <w:tcW w:w="1340" w:type="dxa"/>
            <w:vAlign w:val="center"/>
          </w:tcPr>
          <w:p w14:paraId="3CD2647F">
            <w:pPr>
              <w:snapToGrid w:val="0"/>
              <w:spacing w:line="360" w:lineRule="auto"/>
              <w:jc w:val="center"/>
              <w:rPr>
                <w:rFonts w:ascii="仿宋" w:hAnsi="仿宋" w:eastAsia="仿宋" w:cs="Times New Roman"/>
                <w:color w:val="auto"/>
                <w:sz w:val="24"/>
                <w:szCs w:val="24"/>
                <w:highlight w:val="none"/>
              </w:rPr>
            </w:pPr>
          </w:p>
        </w:tc>
        <w:tc>
          <w:tcPr>
            <w:tcW w:w="1211" w:type="dxa"/>
            <w:vAlign w:val="center"/>
          </w:tcPr>
          <w:p w14:paraId="1413B80F">
            <w:pPr>
              <w:snapToGrid w:val="0"/>
              <w:spacing w:line="360" w:lineRule="auto"/>
              <w:jc w:val="center"/>
              <w:rPr>
                <w:rFonts w:ascii="仿宋" w:hAnsi="仿宋" w:eastAsia="仿宋" w:cs="Times New Roman"/>
                <w:color w:val="auto"/>
                <w:sz w:val="24"/>
                <w:szCs w:val="24"/>
                <w:highlight w:val="none"/>
              </w:rPr>
            </w:pPr>
          </w:p>
        </w:tc>
        <w:tc>
          <w:tcPr>
            <w:tcW w:w="1276" w:type="dxa"/>
            <w:vAlign w:val="center"/>
          </w:tcPr>
          <w:p w14:paraId="0093C398">
            <w:pPr>
              <w:snapToGrid w:val="0"/>
              <w:spacing w:line="360" w:lineRule="auto"/>
              <w:jc w:val="center"/>
              <w:rPr>
                <w:rFonts w:ascii="仿宋" w:hAnsi="仿宋" w:eastAsia="仿宋" w:cs="Times New Roman"/>
                <w:color w:val="auto"/>
                <w:sz w:val="24"/>
                <w:szCs w:val="24"/>
                <w:highlight w:val="none"/>
              </w:rPr>
            </w:pPr>
          </w:p>
        </w:tc>
        <w:tc>
          <w:tcPr>
            <w:tcW w:w="992" w:type="dxa"/>
            <w:vAlign w:val="center"/>
          </w:tcPr>
          <w:p w14:paraId="2A2EB112">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14:paraId="76F8678C">
            <w:pPr>
              <w:snapToGrid w:val="0"/>
              <w:spacing w:line="360" w:lineRule="auto"/>
              <w:jc w:val="center"/>
              <w:rPr>
                <w:rFonts w:ascii="仿宋" w:hAnsi="仿宋" w:eastAsia="仿宋" w:cs="Times New Roman"/>
                <w:color w:val="auto"/>
                <w:sz w:val="24"/>
                <w:szCs w:val="24"/>
                <w:highlight w:val="none"/>
              </w:rPr>
            </w:pPr>
          </w:p>
        </w:tc>
        <w:tc>
          <w:tcPr>
            <w:tcW w:w="850" w:type="dxa"/>
            <w:vAlign w:val="center"/>
          </w:tcPr>
          <w:p w14:paraId="14005726">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14:paraId="2590DC0E">
            <w:pPr>
              <w:snapToGrid w:val="0"/>
              <w:spacing w:line="360" w:lineRule="auto"/>
              <w:jc w:val="center"/>
              <w:rPr>
                <w:rFonts w:ascii="仿宋" w:hAnsi="仿宋" w:eastAsia="仿宋" w:cs="Times New Roman"/>
                <w:color w:val="auto"/>
                <w:sz w:val="24"/>
                <w:szCs w:val="24"/>
                <w:highlight w:val="none"/>
              </w:rPr>
            </w:pPr>
          </w:p>
        </w:tc>
        <w:tc>
          <w:tcPr>
            <w:tcW w:w="1403" w:type="dxa"/>
            <w:vAlign w:val="center"/>
          </w:tcPr>
          <w:p w14:paraId="66F1855C">
            <w:pPr>
              <w:snapToGrid w:val="0"/>
              <w:spacing w:line="360" w:lineRule="auto"/>
              <w:jc w:val="center"/>
              <w:rPr>
                <w:rFonts w:ascii="仿宋" w:hAnsi="仿宋" w:eastAsia="仿宋" w:cs="Times New Roman"/>
                <w:color w:val="auto"/>
                <w:sz w:val="24"/>
                <w:szCs w:val="24"/>
                <w:highlight w:val="none"/>
              </w:rPr>
            </w:pPr>
          </w:p>
        </w:tc>
      </w:tr>
      <w:tr w14:paraId="6148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37" w:type="dxa"/>
            <w:vAlign w:val="center"/>
          </w:tcPr>
          <w:p w14:paraId="3D14D60F">
            <w:pPr>
              <w:snapToGrid w:val="0"/>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合计</w:t>
            </w:r>
          </w:p>
        </w:tc>
        <w:tc>
          <w:tcPr>
            <w:tcW w:w="8774" w:type="dxa"/>
            <w:gridSpan w:val="8"/>
            <w:vAlign w:val="center"/>
          </w:tcPr>
          <w:p w14:paraId="1B86CFE4">
            <w:pPr>
              <w:snapToGrid w:val="0"/>
              <w:spacing w:line="360" w:lineRule="auto"/>
              <w:jc w:val="center"/>
              <w:rPr>
                <w:rFonts w:ascii="仿宋" w:hAnsi="仿宋" w:eastAsia="仿宋" w:cs="Times New Roman"/>
                <w:color w:val="auto"/>
                <w:sz w:val="24"/>
                <w:szCs w:val="24"/>
                <w:highlight w:val="none"/>
              </w:rPr>
            </w:pPr>
          </w:p>
        </w:tc>
      </w:tr>
    </w:tbl>
    <w:p w14:paraId="145DBA4A">
      <w:pPr>
        <w:spacing w:line="360"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注：供应商必须详细报出采购清单中各个子项的名称、品牌、规格型号、数量、单价。且本表各分项报价合计应当与报价总表报价合计相等。请各供应商务必按照以上要求填报，否则作为无效响应处理。</w:t>
      </w:r>
    </w:p>
    <w:p w14:paraId="6DE7C639">
      <w:pPr>
        <w:widowControl/>
        <w:spacing w:line="360" w:lineRule="auto"/>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br w:type="page"/>
      </w:r>
    </w:p>
    <w:p w14:paraId="58F7A2C9">
      <w:pPr>
        <w:spacing w:line="360" w:lineRule="auto"/>
        <w:jc w:val="left"/>
        <w:rPr>
          <w:rFonts w:hint="eastAsia" w:ascii="仿宋" w:hAnsi="仿宋" w:eastAsia="仿宋" w:cs="Times New Roman"/>
          <w:bCs/>
          <w:color w:val="auto"/>
          <w:sz w:val="24"/>
          <w:szCs w:val="24"/>
          <w:highlight w:val="none"/>
          <w:lang w:eastAsia="zh-CN" w:bidi="ar"/>
        </w:rPr>
      </w:pPr>
      <w:r>
        <w:rPr>
          <w:rFonts w:ascii="仿宋" w:hAnsi="仿宋" w:eastAsia="仿宋" w:cs="Times New Roman"/>
          <w:bCs/>
          <w:color w:val="auto"/>
          <w:sz w:val="24"/>
          <w:szCs w:val="24"/>
          <w:highlight w:val="none"/>
          <w:lang w:bidi="ar"/>
        </w:rPr>
        <w:t>附件</w:t>
      </w:r>
      <w:r>
        <w:rPr>
          <w:rFonts w:hint="eastAsia" w:ascii="仿宋" w:hAnsi="仿宋" w:eastAsia="仿宋" w:cs="Times New Roman"/>
          <w:bCs/>
          <w:color w:val="auto"/>
          <w:sz w:val="24"/>
          <w:szCs w:val="24"/>
          <w:highlight w:val="none"/>
          <w:lang w:val="en-US" w:eastAsia="zh-CN" w:bidi="ar"/>
        </w:rPr>
        <w:t>9</w:t>
      </w:r>
    </w:p>
    <w:p w14:paraId="53B411CF">
      <w:pPr>
        <w:spacing w:line="360" w:lineRule="auto"/>
        <w:jc w:val="center"/>
        <w:rPr>
          <w:rFonts w:ascii="仿宋" w:hAnsi="仿宋" w:eastAsia="仿宋" w:cs="宋体"/>
          <w:b/>
          <w:color w:val="auto"/>
          <w:sz w:val="24"/>
          <w:szCs w:val="24"/>
          <w:highlight w:val="none"/>
          <w:lang w:bidi="ar"/>
        </w:rPr>
      </w:pPr>
      <w:bookmarkStart w:id="244" w:name="_Hlk130369611"/>
      <w:r>
        <w:rPr>
          <w:rFonts w:hint="eastAsia" w:ascii="仿宋" w:hAnsi="仿宋" w:eastAsia="仿宋" w:cs="宋体"/>
          <w:b/>
          <w:color w:val="auto"/>
          <w:sz w:val="24"/>
          <w:szCs w:val="24"/>
          <w:highlight w:val="none"/>
          <w:lang w:bidi="ar"/>
        </w:rPr>
        <w:t>供应商信用承诺书</w:t>
      </w:r>
    </w:p>
    <w:bookmarkEnd w:id="244"/>
    <w:p w14:paraId="36E98C1D">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为营造公开、公平、公正的交易环境，树立诚信守法的投标人形象，本人代表本单位作出以下承诺：</w:t>
      </w:r>
    </w:p>
    <w:p w14:paraId="1B7BB337">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14:paraId="50F844CE">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二、严格依照国家和省、市、县关于政府采购等方面的法律、法规、规章、规范性文件，参加投标活动；积极履行社会责任，促进廉政建设；</w:t>
      </w:r>
    </w:p>
    <w:p w14:paraId="6F8019CE">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三、自我约束、自我管理，守合同、重信用，不参与围标串标、弄虚作假、骗取中标、干扰评标、违约毁约、恶意投诉等行为，主动维护招标投标的良好秩序；</w:t>
      </w:r>
    </w:p>
    <w:p w14:paraId="429DFABC">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四、如发生违法违规或不良行为或存在其他法律法规对招标投标行为予以限制的情形，自愿接受政府采购有关行政监督部门依法给予的行政处罚（处理），并依法承担相应的法律责任；</w:t>
      </w:r>
    </w:p>
    <w:p w14:paraId="47FC5929">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五、自觉接受政府部门、行业组织、社会公众、新闻舆论等监督；</w:t>
      </w:r>
    </w:p>
    <w:p w14:paraId="1C2629DA">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六、上述承诺已向本单位员工作了宣传教育；</w:t>
      </w:r>
    </w:p>
    <w:p w14:paraId="377B62B8">
      <w:pPr>
        <w:spacing w:line="360" w:lineRule="auto"/>
        <w:ind w:firstLine="482" w:firstLineChars="200"/>
        <w:rPr>
          <w:rFonts w:ascii="仿宋" w:hAnsi="仿宋" w:eastAsia="仿宋" w:cs="宋体"/>
          <w:color w:val="auto"/>
          <w:kern w:val="0"/>
          <w:sz w:val="24"/>
          <w:szCs w:val="24"/>
          <w:highlight w:val="none"/>
          <w:lang w:val="zh-CN"/>
        </w:rPr>
      </w:pPr>
      <w:r>
        <w:rPr>
          <w:rFonts w:hint="eastAsia" w:ascii="仿宋" w:hAnsi="仿宋" w:eastAsia="仿宋" w:cs="宋体"/>
          <w:b/>
          <w:color w:val="auto"/>
          <w:kern w:val="0"/>
          <w:sz w:val="24"/>
          <w:szCs w:val="24"/>
          <w:highlight w:val="none"/>
          <w:lang w:val="zh-CN" w:bidi="ar"/>
        </w:rPr>
        <w:t>如有违反上述承诺的不良行为，本单位同意将其予以上网公示。</w:t>
      </w:r>
    </w:p>
    <w:p w14:paraId="233E8E2A">
      <w:pPr>
        <w:spacing w:line="360" w:lineRule="auto"/>
        <w:ind w:firstLine="2640" w:firstLineChars="1100"/>
        <w:rPr>
          <w:rFonts w:ascii="仿宋" w:hAnsi="仿宋" w:eastAsia="仿宋" w:cs="宋体"/>
          <w:color w:val="auto"/>
          <w:kern w:val="0"/>
          <w:sz w:val="24"/>
          <w:szCs w:val="24"/>
          <w:highlight w:val="none"/>
          <w:u w:val="single"/>
          <w:lang w:val="zh-CN"/>
        </w:rPr>
      </w:pPr>
      <w:r>
        <w:rPr>
          <w:rFonts w:hint="eastAsia" w:ascii="仿宋" w:hAnsi="仿宋" w:eastAsia="仿宋" w:cs="宋体"/>
          <w:color w:val="auto"/>
          <w:kern w:val="0"/>
          <w:sz w:val="24"/>
          <w:szCs w:val="24"/>
          <w:highlight w:val="none"/>
          <w:lang w:val="zh-CN" w:bidi="ar"/>
        </w:rPr>
        <w:t>投标供应商全称(盖公章)：</w:t>
      </w:r>
    </w:p>
    <w:p w14:paraId="06B52AD3">
      <w:pPr>
        <w:spacing w:line="360" w:lineRule="auto"/>
        <w:ind w:firstLine="2640" w:firstLineChars="1100"/>
        <w:rPr>
          <w:rFonts w:ascii="仿宋" w:hAnsi="仿宋" w:eastAsia="仿宋" w:cs="宋体"/>
          <w:color w:val="auto"/>
          <w:sz w:val="24"/>
          <w:szCs w:val="24"/>
          <w:highlight w:val="none"/>
          <w:u w:val="single"/>
          <w:lang w:val="zh-CN"/>
        </w:rPr>
      </w:pPr>
      <w:r>
        <w:rPr>
          <w:rFonts w:hint="eastAsia" w:ascii="仿宋" w:hAnsi="仿宋" w:eastAsia="仿宋" w:cs="宋体"/>
          <w:color w:val="auto"/>
          <w:kern w:val="0"/>
          <w:sz w:val="24"/>
          <w:szCs w:val="24"/>
          <w:highlight w:val="none"/>
          <w:lang w:val="zh-CN" w:bidi="ar"/>
        </w:rPr>
        <w:t>法定代表人（签字或盖章）：</w:t>
      </w:r>
    </w:p>
    <w:p w14:paraId="69D8A87E">
      <w:pPr>
        <w:spacing w:line="360" w:lineRule="auto"/>
        <w:ind w:firstLine="2640" w:firstLineChars="11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时间：  年  月   日</w:t>
      </w:r>
    </w:p>
    <w:p w14:paraId="61C80BBB">
      <w:pPr>
        <w:widowControl/>
        <w:spacing w:line="360" w:lineRule="auto"/>
        <w:jc w:val="left"/>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br w:type="page"/>
      </w:r>
    </w:p>
    <w:p w14:paraId="262F4691">
      <w:pPr>
        <w:spacing w:line="360" w:lineRule="auto"/>
        <w:jc w:val="left"/>
        <w:rPr>
          <w:rFonts w:hint="eastAsia" w:ascii="仿宋" w:hAnsi="仿宋" w:eastAsia="仿宋" w:cs="Times New Roman"/>
          <w:bCs/>
          <w:color w:val="auto"/>
          <w:sz w:val="24"/>
          <w:szCs w:val="24"/>
          <w:highlight w:val="none"/>
          <w:lang w:eastAsia="zh-CN" w:bidi="ar"/>
        </w:rPr>
      </w:pPr>
      <w:r>
        <w:rPr>
          <w:rFonts w:ascii="仿宋" w:hAnsi="仿宋" w:eastAsia="仿宋" w:cs="Times New Roman"/>
          <w:bCs/>
          <w:color w:val="auto"/>
          <w:sz w:val="24"/>
          <w:szCs w:val="24"/>
          <w:highlight w:val="none"/>
          <w:lang w:bidi="ar"/>
        </w:rPr>
        <w:t>附件1</w:t>
      </w:r>
      <w:r>
        <w:rPr>
          <w:rFonts w:hint="eastAsia" w:ascii="仿宋" w:hAnsi="仿宋" w:eastAsia="仿宋" w:cs="Times New Roman"/>
          <w:bCs/>
          <w:color w:val="auto"/>
          <w:sz w:val="24"/>
          <w:szCs w:val="24"/>
          <w:highlight w:val="none"/>
          <w:lang w:val="en-US" w:eastAsia="zh-CN" w:bidi="ar"/>
        </w:rPr>
        <w:t>0</w:t>
      </w:r>
    </w:p>
    <w:p w14:paraId="2E74C349">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质疑函范本</w:t>
      </w:r>
    </w:p>
    <w:p w14:paraId="6A7B5058">
      <w:pPr>
        <w:spacing w:line="360" w:lineRule="auto"/>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一、质疑供应商基本信息</w:t>
      </w:r>
    </w:p>
    <w:p w14:paraId="1F569908">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质疑供应商：</w:t>
      </w:r>
    </w:p>
    <w:p w14:paraId="311800F9">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地址：邮编：</w:t>
      </w:r>
    </w:p>
    <w:p w14:paraId="6DE66ED4">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联系人：联系电话：</w:t>
      </w:r>
    </w:p>
    <w:p w14:paraId="7BC5F087">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授权代表：</w:t>
      </w:r>
    </w:p>
    <w:p w14:paraId="142BD50F">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联系电话：</w:t>
      </w:r>
    </w:p>
    <w:p w14:paraId="10D9941E">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地址：邮编：</w:t>
      </w:r>
    </w:p>
    <w:p w14:paraId="3DEE1BFD">
      <w:pPr>
        <w:spacing w:line="360" w:lineRule="auto"/>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二、质疑项目基本情况</w:t>
      </w:r>
    </w:p>
    <w:p w14:paraId="3615F44D">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质疑项目的名称：</w:t>
      </w:r>
    </w:p>
    <w:p w14:paraId="74C3EE86">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质疑项目的编号：包号：</w:t>
      </w:r>
    </w:p>
    <w:p w14:paraId="60798AE4">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采购人名称：</w:t>
      </w:r>
    </w:p>
    <w:p w14:paraId="24E22A7B">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采购文件获取日期：</w:t>
      </w:r>
    </w:p>
    <w:p w14:paraId="52E5C607">
      <w:pPr>
        <w:spacing w:line="360" w:lineRule="auto"/>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三、质疑事项具体内容</w:t>
      </w:r>
    </w:p>
    <w:p w14:paraId="7B2978B3">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质疑事项1：</w:t>
      </w:r>
    </w:p>
    <w:p w14:paraId="27886460">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事实依据：</w:t>
      </w:r>
    </w:p>
    <w:p w14:paraId="1971D540">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法律依据：</w:t>
      </w:r>
    </w:p>
    <w:p w14:paraId="688B8013">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质疑事项2</w:t>
      </w:r>
    </w:p>
    <w:p w14:paraId="05A58712">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w:t>
      </w:r>
    </w:p>
    <w:p w14:paraId="6A3ECCDD">
      <w:pPr>
        <w:spacing w:line="360" w:lineRule="auto"/>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四、与质疑事项相关的质疑请求</w:t>
      </w:r>
    </w:p>
    <w:p w14:paraId="79443A7C">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请求：</w:t>
      </w:r>
    </w:p>
    <w:p w14:paraId="4F649F09">
      <w:pPr>
        <w:spacing w:line="360" w:lineRule="auto"/>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 xml:space="preserve">签字(签章)：                   公章：                      </w:t>
      </w:r>
    </w:p>
    <w:p w14:paraId="6EAD209B">
      <w:pPr>
        <w:spacing w:line="360" w:lineRule="auto"/>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 xml:space="preserve">日期：    </w:t>
      </w:r>
    </w:p>
    <w:p w14:paraId="5340803D">
      <w:pPr>
        <w:spacing w:line="360" w:lineRule="auto"/>
        <w:rPr>
          <w:rFonts w:ascii="仿宋" w:hAnsi="仿宋" w:eastAsia="仿宋" w:cs="宋体"/>
          <w:color w:val="auto"/>
          <w:kern w:val="0"/>
          <w:sz w:val="24"/>
          <w:szCs w:val="24"/>
          <w:highlight w:val="none"/>
          <w:lang w:val="zh-CN" w:bidi="ar"/>
        </w:rPr>
      </w:pPr>
    </w:p>
    <w:p w14:paraId="38416A8D">
      <w:pPr>
        <w:spacing w:line="360" w:lineRule="auto"/>
        <w:rPr>
          <w:rFonts w:ascii="仿宋" w:hAnsi="仿宋" w:eastAsia="仿宋" w:cs="宋体"/>
          <w:color w:val="auto"/>
          <w:kern w:val="0"/>
          <w:sz w:val="24"/>
          <w:szCs w:val="24"/>
          <w:highlight w:val="none"/>
          <w:lang w:val="zh-CN" w:bidi="ar"/>
        </w:rPr>
      </w:pPr>
    </w:p>
    <w:p w14:paraId="79C4EA4A">
      <w:pPr>
        <w:spacing w:line="360" w:lineRule="auto"/>
        <w:rPr>
          <w:rFonts w:ascii="仿宋" w:hAnsi="仿宋" w:eastAsia="仿宋" w:cs="宋体"/>
          <w:color w:val="auto"/>
          <w:kern w:val="0"/>
          <w:sz w:val="24"/>
          <w:szCs w:val="24"/>
          <w:highlight w:val="none"/>
          <w:lang w:val="zh-CN" w:bidi="ar"/>
        </w:rPr>
      </w:pPr>
    </w:p>
    <w:p w14:paraId="37C15F4D">
      <w:pPr>
        <w:spacing w:line="360" w:lineRule="auto"/>
        <w:rPr>
          <w:rFonts w:ascii="仿宋" w:hAnsi="仿宋" w:eastAsia="仿宋" w:cs="宋体"/>
          <w:color w:val="auto"/>
          <w:kern w:val="0"/>
          <w:sz w:val="24"/>
          <w:szCs w:val="24"/>
          <w:highlight w:val="none"/>
          <w:lang w:val="zh-CN" w:bidi="ar"/>
        </w:rPr>
      </w:pPr>
    </w:p>
    <w:p w14:paraId="03403DC6">
      <w:pPr>
        <w:spacing w:line="360" w:lineRule="auto"/>
        <w:rPr>
          <w:rFonts w:ascii="仿宋" w:hAnsi="仿宋" w:eastAsia="仿宋" w:cs="宋体"/>
          <w:color w:val="auto"/>
          <w:kern w:val="0"/>
          <w:sz w:val="24"/>
          <w:szCs w:val="24"/>
          <w:highlight w:val="none"/>
          <w:lang w:val="zh-CN" w:bidi="ar"/>
        </w:rPr>
      </w:pPr>
    </w:p>
    <w:p w14:paraId="2FF05706">
      <w:pPr>
        <w:spacing w:line="360" w:lineRule="auto"/>
        <w:rPr>
          <w:rFonts w:ascii="仿宋" w:hAnsi="仿宋" w:eastAsia="仿宋" w:cs="宋体"/>
          <w:b/>
          <w:bCs/>
          <w:color w:val="auto"/>
          <w:kern w:val="0"/>
          <w:sz w:val="24"/>
          <w:szCs w:val="24"/>
          <w:highlight w:val="none"/>
          <w:lang w:val="zh-CN" w:bidi="ar"/>
        </w:rPr>
      </w:pPr>
      <w:r>
        <w:rPr>
          <w:rFonts w:hint="eastAsia" w:ascii="仿宋" w:hAnsi="仿宋" w:eastAsia="仿宋" w:cs="宋体"/>
          <w:b/>
          <w:bCs/>
          <w:color w:val="auto"/>
          <w:kern w:val="0"/>
          <w:sz w:val="24"/>
          <w:szCs w:val="24"/>
          <w:highlight w:val="none"/>
          <w:lang w:val="zh-CN" w:bidi="ar"/>
        </w:rPr>
        <w:t>质疑函制作说明：</w:t>
      </w:r>
    </w:p>
    <w:p w14:paraId="67DE5F9C">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1.供应商提出质疑时，应提交质疑函和必要的证明材料。</w:t>
      </w:r>
    </w:p>
    <w:p w14:paraId="0AAB855E">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4173E1A">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3.质疑供应商若对项目的某一分包进行质疑，质疑函中应列明具体分包号。</w:t>
      </w:r>
    </w:p>
    <w:p w14:paraId="25D4146F">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4.质疑函的质疑事项应具体、明确，并有必要的事实依据和法律依据。</w:t>
      </w:r>
    </w:p>
    <w:p w14:paraId="69B15E3D">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5.质疑函的质疑请求应与质疑事项相关。</w:t>
      </w:r>
    </w:p>
    <w:p w14:paraId="1138CF9B">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6.质疑供应商为自然人的，质疑函应由本人签字；质疑供应商为法人或者其他组织的，质疑函应由法定代表人、主要负责人，或者其授权代表签字或者盖章，并加盖公章。</w:t>
      </w:r>
    </w:p>
    <w:p w14:paraId="16CCCCD3">
      <w:pPr>
        <w:spacing w:line="360" w:lineRule="auto"/>
        <w:ind w:firstLine="480" w:firstLineChars="200"/>
        <w:rPr>
          <w:rFonts w:ascii="仿宋" w:hAnsi="仿宋" w:eastAsia="仿宋" w:cs="宋体"/>
          <w:color w:val="auto"/>
          <w:kern w:val="0"/>
          <w:sz w:val="24"/>
          <w:szCs w:val="24"/>
          <w:highlight w:val="none"/>
          <w:lang w:val="zh-CN" w:bidi="ar"/>
        </w:rPr>
      </w:pPr>
    </w:p>
    <w:p w14:paraId="51240543">
      <w:pPr>
        <w:widowControl/>
        <w:spacing w:line="360" w:lineRule="auto"/>
        <w:jc w:val="left"/>
        <w:rPr>
          <w:rFonts w:ascii="仿宋" w:hAnsi="仿宋" w:eastAsia="仿宋"/>
          <w:color w:val="auto"/>
          <w:sz w:val="24"/>
          <w:szCs w:val="24"/>
          <w:highlight w:val="none"/>
        </w:rPr>
      </w:pPr>
    </w:p>
    <w:sectPr>
      <w:footerReference r:id="rId3" w:type="default"/>
      <w:pgSz w:w="11906" w:h="16838"/>
      <w:pgMar w:top="1418" w:right="1418" w:bottom="1418" w:left="1701" w:header="851" w:footer="992" w:gutter="0"/>
      <w:cols w:space="425"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E9D6015-08EA-400C-A1A8-F68FF0743D2C}"/>
  </w:font>
  <w:font w:name="黑体">
    <w:panose1 w:val="02010609060101010101"/>
    <w:charset w:val="86"/>
    <w:family w:val="auto"/>
    <w:pitch w:val="default"/>
    <w:sig w:usb0="800002BF" w:usb1="38CF7CFA" w:usb2="00000016" w:usb3="00000000" w:csb0="00040001" w:csb1="00000000"/>
    <w:embedRegular r:id="rId2" w:fontKey="{173F0DAE-092C-477A-8E8A-6C8336C535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D682BDE0-3AF7-49B9-BAEE-EDFA182FB92B}"/>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4" w:fontKey="{424F59BD-4771-4FF0-B5BE-0002C94F98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szCs w:val="21"/>
      </w:rPr>
      <w:id w:val="1236827657"/>
    </w:sdtPr>
    <w:sdtEndPr>
      <w:rPr>
        <w:rFonts w:ascii="仿宋" w:hAnsi="仿宋" w:eastAsia="仿宋"/>
        <w:sz w:val="21"/>
        <w:szCs w:val="21"/>
      </w:rPr>
    </w:sdtEndPr>
    <w:sdtContent>
      <w:sdt>
        <w:sdtPr>
          <w:rPr>
            <w:rFonts w:ascii="仿宋" w:hAnsi="仿宋" w:eastAsia="仿宋"/>
            <w:sz w:val="21"/>
            <w:szCs w:val="21"/>
          </w:rPr>
          <w:id w:val="98381352"/>
        </w:sdtPr>
        <w:sdtEndPr>
          <w:rPr>
            <w:rFonts w:ascii="仿宋" w:hAnsi="仿宋" w:eastAsia="仿宋"/>
            <w:sz w:val="21"/>
            <w:szCs w:val="21"/>
          </w:rPr>
        </w:sdtEndPr>
        <w:sdtContent>
          <w:p w14:paraId="2871D6DB">
            <w:pPr>
              <w:pStyle w:val="11"/>
              <w:jc w:val="center"/>
              <w:rPr>
                <w:rFonts w:ascii="仿宋" w:hAnsi="仿宋" w:eastAsia="仿宋"/>
                <w:sz w:val="21"/>
                <w:szCs w:val="21"/>
              </w:rPr>
            </w:pPr>
            <w:r>
              <w:rPr>
                <w:rFonts w:ascii="仿宋" w:hAnsi="仿宋" w:eastAsia="仿宋"/>
                <w:sz w:val="21"/>
                <w:szCs w:val="21"/>
                <w:lang w:val="zh-CN"/>
              </w:rPr>
              <w:t xml:space="preserve"> </w:t>
            </w:r>
            <w:r>
              <w:rPr>
                <w:rFonts w:ascii="仿宋" w:hAnsi="仿宋" w:eastAsia="仿宋"/>
                <w:bCs/>
                <w:sz w:val="21"/>
                <w:szCs w:val="21"/>
              </w:rPr>
              <w:fldChar w:fldCharType="begin"/>
            </w:r>
            <w:r>
              <w:rPr>
                <w:rFonts w:ascii="仿宋" w:hAnsi="仿宋" w:eastAsia="仿宋"/>
                <w:bCs/>
                <w:sz w:val="21"/>
                <w:szCs w:val="21"/>
              </w:rPr>
              <w:instrText xml:space="preserve">PAGE</w:instrText>
            </w:r>
            <w:r>
              <w:rPr>
                <w:rFonts w:ascii="仿宋" w:hAnsi="仿宋" w:eastAsia="仿宋"/>
                <w:bCs/>
                <w:sz w:val="21"/>
                <w:szCs w:val="21"/>
              </w:rPr>
              <w:fldChar w:fldCharType="separate"/>
            </w:r>
            <w:r>
              <w:rPr>
                <w:rFonts w:ascii="仿宋" w:hAnsi="仿宋" w:eastAsia="仿宋"/>
                <w:bCs/>
                <w:sz w:val="21"/>
                <w:szCs w:val="21"/>
              </w:rPr>
              <w:t>12</w:t>
            </w:r>
            <w:r>
              <w:rPr>
                <w:rFonts w:ascii="仿宋" w:hAnsi="仿宋" w:eastAsia="仿宋"/>
                <w:bCs/>
                <w:sz w:val="21"/>
                <w:szCs w:val="21"/>
              </w:rPr>
              <w:fldChar w:fldCharType="end"/>
            </w:r>
            <w:r>
              <w:rPr>
                <w:rFonts w:ascii="仿宋" w:hAnsi="仿宋" w:eastAsia="仿宋"/>
                <w:sz w:val="21"/>
                <w:szCs w:val="21"/>
                <w:lang w:val="zh-CN"/>
              </w:rPr>
              <w:t xml:space="preserve"> / </w:t>
            </w:r>
            <w:r>
              <w:rPr>
                <w:rFonts w:ascii="仿宋" w:hAnsi="仿宋" w:eastAsia="仿宋"/>
                <w:bCs/>
                <w:sz w:val="21"/>
                <w:szCs w:val="21"/>
              </w:rPr>
              <w:fldChar w:fldCharType="begin"/>
            </w:r>
            <w:r>
              <w:rPr>
                <w:rFonts w:ascii="仿宋" w:hAnsi="仿宋" w:eastAsia="仿宋"/>
                <w:bCs/>
                <w:sz w:val="21"/>
                <w:szCs w:val="21"/>
              </w:rPr>
              <w:instrText xml:space="preserve">NUMPAGES</w:instrText>
            </w:r>
            <w:r>
              <w:rPr>
                <w:rFonts w:ascii="仿宋" w:hAnsi="仿宋" w:eastAsia="仿宋"/>
                <w:bCs/>
                <w:sz w:val="21"/>
                <w:szCs w:val="21"/>
              </w:rPr>
              <w:fldChar w:fldCharType="separate"/>
            </w:r>
            <w:r>
              <w:rPr>
                <w:rFonts w:ascii="仿宋" w:hAnsi="仿宋" w:eastAsia="仿宋"/>
                <w:bCs/>
                <w:sz w:val="21"/>
                <w:szCs w:val="21"/>
              </w:rPr>
              <w:t>36</w:t>
            </w:r>
            <w:r>
              <w:rPr>
                <w:rFonts w:ascii="仿宋" w:hAnsi="仿宋" w:eastAsia="仿宋"/>
                <w:bCs/>
                <w:sz w:val="21"/>
                <w:szCs w:val="21"/>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hODFhZjUxYTVjMTYyMGMzMTc1OTcyZjFlNGM0NWEifQ=="/>
  </w:docVars>
  <w:rsids>
    <w:rsidRoot w:val="000E6F62"/>
    <w:rsid w:val="0000098A"/>
    <w:rsid w:val="000021B4"/>
    <w:rsid w:val="00004E97"/>
    <w:rsid w:val="00005798"/>
    <w:rsid w:val="00006097"/>
    <w:rsid w:val="00013918"/>
    <w:rsid w:val="00013DCD"/>
    <w:rsid w:val="00014E20"/>
    <w:rsid w:val="00015B78"/>
    <w:rsid w:val="00020E06"/>
    <w:rsid w:val="00022DCC"/>
    <w:rsid w:val="00027DF4"/>
    <w:rsid w:val="00031B49"/>
    <w:rsid w:val="0003374E"/>
    <w:rsid w:val="00033EE4"/>
    <w:rsid w:val="00036BEA"/>
    <w:rsid w:val="00036F61"/>
    <w:rsid w:val="00040ADA"/>
    <w:rsid w:val="00047C97"/>
    <w:rsid w:val="00050DB4"/>
    <w:rsid w:val="000518D6"/>
    <w:rsid w:val="0005407A"/>
    <w:rsid w:val="00055922"/>
    <w:rsid w:val="00057092"/>
    <w:rsid w:val="000575C2"/>
    <w:rsid w:val="00063A5B"/>
    <w:rsid w:val="00063C87"/>
    <w:rsid w:val="00075A32"/>
    <w:rsid w:val="00080100"/>
    <w:rsid w:val="00082610"/>
    <w:rsid w:val="00086D68"/>
    <w:rsid w:val="0009178F"/>
    <w:rsid w:val="00092534"/>
    <w:rsid w:val="00096B3F"/>
    <w:rsid w:val="000A05EE"/>
    <w:rsid w:val="000A3992"/>
    <w:rsid w:val="000A41B4"/>
    <w:rsid w:val="000B3511"/>
    <w:rsid w:val="000B5552"/>
    <w:rsid w:val="000B5C05"/>
    <w:rsid w:val="000C2A5B"/>
    <w:rsid w:val="000C5004"/>
    <w:rsid w:val="000D2FB9"/>
    <w:rsid w:val="000D395B"/>
    <w:rsid w:val="000E0DB6"/>
    <w:rsid w:val="000E0E7A"/>
    <w:rsid w:val="000E6F62"/>
    <w:rsid w:val="000F1CD4"/>
    <w:rsid w:val="000F4D77"/>
    <w:rsid w:val="000F6D21"/>
    <w:rsid w:val="001033D4"/>
    <w:rsid w:val="00104F3A"/>
    <w:rsid w:val="00105E58"/>
    <w:rsid w:val="001105BE"/>
    <w:rsid w:val="0011100F"/>
    <w:rsid w:val="00111362"/>
    <w:rsid w:val="001113EE"/>
    <w:rsid w:val="00111BCB"/>
    <w:rsid w:val="0011268C"/>
    <w:rsid w:val="0011379A"/>
    <w:rsid w:val="0011414A"/>
    <w:rsid w:val="00121F78"/>
    <w:rsid w:val="00122266"/>
    <w:rsid w:val="00124729"/>
    <w:rsid w:val="00125111"/>
    <w:rsid w:val="00126B62"/>
    <w:rsid w:val="001336FE"/>
    <w:rsid w:val="001370AA"/>
    <w:rsid w:val="00142439"/>
    <w:rsid w:val="001464D8"/>
    <w:rsid w:val="00150486"/>
    <w:rsid w:val="0015162F"/>
    <w:rsid w:val="001559F8"/>
    <w:rsid w:val="00155CE2"/>
    <w:rsid w:val="00161281"/>
    <w:rsid w:val="00161BF1"/>
    <w:rsid w:val="00162B68"/>
    <w:rsid w:val="001666EB"/>
    <w:rsid w:val="001668B9"/>
    <w:rsid w:val="00170854"/>
    <w:rsid w:val="001713C6"/>
    <w:rsid w:val="001722E3"/>
    <w:rsid w:val="00174A37"/>
    <w:rsid w:val="00175215"/>
    <w:rsid w:val="00175C52"/>
    <w:rsid w:val="00177D2B"/>
    <w:rsid w:val="001822BA"/>
    <w:rsid w:val="001853E7"/>
    <w:rsid w:val="00185A07"/>
    <w:rsid w:val="001860DC"/>
    <w:rsid w:val="00191EAD"/>
    <w:rsid w:val="00192B1F"/>
    <w:rsid w:val="00197311"/>
    <w:rsid w:val="001A3364"/>
    <w:rsid w:val="001A4A71"/>
    <w:rsid w:val="001A4F4D"/>
    <w:rsid w:val="001A6166"/>
    <w:rsid w:val="001B0CE9"/>
    <w:rsid w:val="001B11E9"/>
    <w:rsid w:val="001B1C4D"/>
    <w:rsid w:val="001B527E"/>
    <w:rsid w:val="001B7885"/>
    <w:rsid w:val="001B7E64"/>
    <w:rsid w:val="001D5CFB"/>
    <w:rsid w:val="001D7463"/>
    <w:rsid w:val="001E34E7"/>
    <w:rsid w:val="001E36E4"/>
    <w:rsid w:val="001E610D"/>
    <w:rsid w:val="001E66C7"/>
    <w:rsid w:val="001E6ABF"/>
    <w:rsid w:val="001E759A"/>
    <w:rsid w:val="001E7C03"/>
    <w:rsid w:val="00201184"/>
    <w:rsid w:val="00203DF2"/>
    <w:rsid w:val="00204702"/>
    <w:rsid w:val="00210990"/>
    <w:rsid w:val="00220170"/>
    <w:rsid w:val="00221D85"/>
    <w:rsid w:val="00222FBA"/>
    <w:rsid w:val="00225C7D"/>
    <w:rsid w:val="002273FD"/>
    <w:rsid w:val="0023042F"/>
    <w:rsid w:val="00232F01"/>
    <w:rsid w:val="00233560"/>
    <w:rsid w:val="00233FE1"/>
    <w:rsid w:val="00235089"/>
    <w:rsid w:val="00237A2D"/>
    <w:rsid w:val="00240B0D"/>
    <w:rsid w:val="002429D0"/>
    <w:rsid w:val="0024599D"/>
    <w:rsid w:val="00261194"/>
    <w:rsid w:val="002614FD"/>
    <w:rsid w:val="00261F05"/>
    <w:rsid w:val="00265524"/>
    <w:rsid w:val="00265FCF"/>
    <w:rsid w:val="002747B9"/>
    <w:rsid w:val="00275FC1"/>
    <w:rsid w:val="00277908"/>
    <w:rsid w:val="0028127F"/>
    <w:rsid w:val="002820A5"/>
    <w:rsid w:val="002834A0"/>
    <w:rsid w:val="0028408A"/>
    <w:rsid w:val="00284659"/>
    <w:rsid w:val="00286315"/>
    <w:rsid w:val="00287BC2"/>
    <w:rsid w:val="00290C3E"/>
    <w:rsid w:val="00297678"/>
    <w:rsid w:val="002A0E45"/>
    <w:rsid w:val="002A5092"/>
    <w:rsid w:val="002D014C"/>
    <w:rsid w:val="002D0159"/>
    <w:rsid w:val="002D2023"/>
    <w:rsid w:val="002D308A"/>
    <w:rsid w:val="002D41FF"/>
    <w:rsid w:val="002E0858"/>
    <w:rsid w:val="002E1561"/>
    <w:rsid w:val="002E71EE"/>
    <w:rsid w:val="002E7CB3"/>
    <w:rsid w:val="003038AA"/>
    <w:rsid w:val="00306363"/>
    <w:rsid w:val="00307902"/>
    <w:rsid w:val="0031285E"/>
    <w:rsid w:val="00315DDB"/>
    <w:rsid w:val="00317BB1"/>
    <w:rsid w:val="00317E31"/>
    <w:rsid w:val="003202A5"/>
    <w:rsid w:val="00320D57"/>
    <w:rsid w:val="00324B9A"/>
    <w:rsid w:val="00325C54"/>
    <w:rsid w:val="00326203"/>
    <w:rsid w:val="00331487"/>
    <w:rsid w:val="003314C2"/>
    <w:rsid w:val="00334536"/>
    <w:rsid w:val="00334DA9"/>
    <w:rsid w:val="00337579"/>
    <w:rsid w:val="00342634"/>
    <w:rsid w:val="00347A5A"/>
    <w:rsid w:val="0036139F"/>
    <w:rsid w:val="0036715D"/>
    <w:rsid w:val="003672DB"/>
    <w:rsid w:val="003700F4"/>
    <w:rsid w:val="00372164"/>
    <w:rsid w:val="003743E7"/>
    <w:rsid w:val="00374C1B"/>
    <w:rsid w:val="003759EC"/>
    <w:rsid w:val="00375B89"/>
    <w:rsid w:val="00376A45"/>
    <w:rsid w:val="00377622"/>
    <w:rsid w:val="003862A9"/>
    <w:rsid w:val="00392718"/>
    <w:rsid w:val="00392ADA"/>
    <w:rsid w:val="00392E5B"/>
    <w:rsid w:val="003930C1"/>
    <w:rsid w:val="003A1C33"/>
    <w:rsid w:val="003A6A4F"/>
    <w:rsid w:val="003B4D50"/>
    <w:rsid w:val="003C6652"/>
    <w:rsid w:val="003C7835"/>
    <w:rsid w:val="003D594B"/>
    <w:rsid w:val="003E02A1"/>
    <w:rsid w:val="003E3426"/>
    <w:rsid w:val="003F083D"/>
    <w:rsid w:val="003F231F"/>
    <w:rsid w:val="00401F5D"/>
    <w:rsid w:val="0040225D"/>
    <w:rsid w:val="00403B80"/>
    <w:rsid w:val="00407863"/>
    <w:rsid w:val="004135A5"/>
    <w:rsid w:val="00416009"/>
    <w:rsid w:val="004164E4"/>
    <w:rsid w:val="004204C9"/>
    <w:rsid w:val="00421B7B"/>
    <w:rsid w:val="00423225"/>
    <w:rsid w:val="004341FD"/>
    <w:rsid w:val="00434385"/>
    <w:rsid w:val="004400FF"/>
    <w:rsid w:val="004437C6"/>
    <w:rsid w:val="00443B99"/>
    <w:rsid w:val="00447F2B"/>
    <w:rsid w:val="004601D7"/>
    <w:rsid w:val="00467212"/>
    <w:rsid w:val="004721D5"/>
    <w:rsid w:val="004740D5"/>
    <w:rsid w:val="004751B1"/>
    <w:rsid w:val="00476E76"/>
    <w:rsid w:val="00476F77"/>
    <w:rsid w:val="00482923"/>
    <w:rsid w:val="004829F7"/>
    <w:rsid w:val="00486452"/>
    <w:rsid w:val="00494F68"/>
    <w:rsid w:val="004A115E"/>
    <w:rsid w:val="004A2204"/>
    <w:rsid w:val="004A511A"/>
    <w:rsid w:val="004A557C"/>
    <w:rsid w:val="004B06C2"/>
    <w:rsid w:val="004B37AE"/>
    <w:rsid w:val="004B622B"/>
    <w:rsid w:val="004C43F3"/>
    <w:rsid w:val="004C7045"/>
    <w:rsid w:val="004D14F1"/>
    <w:rsid w:val="004D2635"/>
    <w:rsid w:val="004D469A"/>
    <w:rsid w:val="004D4E65"/>
    <w:rsid w:val="004D6C61"/>
    <w:rsid w:val="004D7E61"/>
    <w:rsid w:val="004E1EB9"/>
    <w:rsid w:val="004E28E0"/>
    <w:rsid w:val="004E3AB1"/>
    <w:rsid w:val="004E42DF"/>
    <w:rsid w:val="004E58DC"/>
    <w:rsid w:val="004E5B84"/>
    <w:rsid w:val="004F2EAC"/>
    <w:rsid w:val="004F4C67"/>
    <w:rsid w:val="004F7F2F"/>
    <w:rsid w:val="00503209"/>
    <w:rsid w:val="00503A0C"/>
    <w:rsid w:val="00505F22"/>
    <w:rsid w:val="0051378A"/>
    <w:rsid w:val="00514FB2"/>
    <w:rsid w:val="005201FA"/>
    <w:rsid w:val="00524270"/>
    <w:rsid w:val="00524FB0"/>
    <w:rsid w:val="00527624"/>
    <w:rsid w:val="00532A6C"/>
    <w:rsid w:val="00536B36"/>
    <w:rsid w:val="005424AE"/>
    <w:rsid w:val="005444C5"/>
    <w:rsid w:val="00544B8F"/>
    <w:rsid w:val="0054629F"/>
    <w:rsid w:val="00546F31"/>
    <w:rsid w:val="005612A7"/>
    <w:rsid w:val="00561EFF"/>
    <w:rsid w:val="005622F6"/>
    <w:rsid w:val="00564475"/>
    <w:rsid w:val="005653B6"/>
    <w:rsid w:val="00566096"/>
    <w:rsid w:val="0057011D"/>
    <w:rsid w:val="00571081"/>
    <w:rsid w:val="00572285"/>
    <w:rsid w:val="00572EBD"/>
    <w:rsid w:val="00573AB3"/>
    <w:rsid w:val="0057483E"/>
    <w:rsid w:val="00575544"/>
    <w:rsid w:val="00577F45"/>
    <w:rsid w:val="00587C6A"/>
    <w:rsid w:val="00591B9F"/>
    <w:rsid w:val="005930C7"/>
    <w:rsid w:val="005A1859"/>
    <w:rsid w:val="005A5307"/>
    <w:rsid w:val="005A6FA6"/>
    <w:rsid w:val="005B3CB3"/>
    <w:rsid w:val="005B7637"/>
    <w:rsid w:val="005C0B6A"/>
    <w:rsid w:val="005C2067"/>
    <w:rsid w:val="005C28A8"/>
    <w:rsid w:val="005D7B1E"/>
    <w:rsid w:val="005F046F"/>
    <w:rsid w:val="005F375E"/>
    <w:rsid w:val="005F5707"/>
    <w:rsid w:val="005F78A6"/>
    <w:rsid w:val="006012FB"/>
    <w:rsid w:val="006016D7"/>
    <w:rsid w:val="00604DDE"/>
    <w:rsid w:val="00605498"/>
    <w:rsid w:val="00607375"/>
    <w:rsid w:val="00614E51"/>
    <w:rsid w:val="00615533"/>
    <w:rsid w:val="006165F5"/>
    <w:rsid w:val="006213BD"/>
    <w:rsid w:val="00621708"/>
    <w:rsid w:val="00622680"/>
    <w:rsid w:val="00622E05"/>
    <w:rsid w:val="006236FA"/>
    <w:rsid w:val="00626E09"/>
    <w:rsid w:val="00626ECF"/>
    <w:rsid w:val="00627DE4"/>
    <w:rsid w:val="00630181"/>
    <w:rsid w:val="00631C94"/>
    <w:rsid w:val="0063267B"/>
    <w:rsid w:val="0063654D"/>
    <w:rsid w:val="00641309"/>
    <w:rsid w:val="00643D29"/>
    <w:rsid w:val="006448DA"/>
    <w:rsid w:val="00646012"/>
    <w:rsid w:val="006571F6"/>
    <w:rsid w:val="006572DD"/>
    <w:rsid w:val="006640AB"/>
    <w:rsid w:val="0067446B"/>
    <w:rsid w:val="00687070"/>
    <w:rsid w:val="00692F88"/>
    <w:rsid w:val="00695908"/>
    <w:rsid w:val="006A0549"/>
    <w:rsid w:val="006A0827"/>
    <w:rsid w:val="006A0CDD"/>
    <w:rsid w:val="006B061A"/>
    <w:rsid w:val="006B0E2D"/>
    <w:rsid w:val="006B1D46"/>
    <w:rsid w:val="006B459C"/>
    <w:rsid w:val="006B5DEC"/>
    <w:rsid w:val="006C48CE"/>
    <w:rsid w:val="006C5575"/>
    <w:rsid w:val="006C5FC0"/>
    <w:rsid w:val="006D1996"/>
    <w:rsid w:val="006D35DA"/>
    <w:rsid w:val="006D4EE1"/>
    <w:rsid w:val="006D55CD"/>
    <w:rsid w:val="006E40D5"/>
    <w:rsid w:val="006E74B3"/>
    <w:rsid w:val="006F5CD4"/>
    <w:rsid w:val="007000B1"/>
    <w:rsid w:val="007110F4"/>
    <w:rsid w:val="0071219F"/>
    <w:rsid w:val="007178A7"/>
    <w:rsid w:val="00720646"/>
    <w:rsid w:val="00723203"/>
    <w:rsid w:val="0072345F"/>
    <w:rsid w:val="0073019B"/>
    <w:rsid w:val="00732C6B"/>
    <w:rsid w:val="007339D9"/>
    <w:rsid w:val="007359E8"/>
    <w:rsid w:val="00737F56"/>
    <w:rsid w:val="00743523"/>
    <w:rsid w:val="007534E0"/>
    <w:rsid w:val="00764502"/>
    <w:rsid w:val="00766B5B"/>
    <w:rsid w:val="00767C86"/>
    <w:rsid w:val="00770F07"/>
    <w:rsid w:val="007724B6"/>
    <w:rsid w:val="00773F66"/>
    <w:rsid w:val="00780216"/>
    <w:rsid w:val="00781E58"/>
    <w:rsid w:val="007840C5"/>
    <w:rsid w:val="0078482B"/>
    <w:rsid w:val="00784D05"/>
    <w:rsid w:val="00784F04"/>
    <w:rsid w:val="0078613B"/>
    <w:rsid w:val="007867E7"/>
    <w:rsid w:val="00791D27"/>
    <w:rsid w:val="00796C7D"/>
    <w:rsid w:val="007A16B1"/>
    <w:rsid w:val="007A572D"/>
    <w:rsid w:val="007A6E5E"/>
    <w:rsid w:val="007B0005"/>
    <w:rsid w:val="007B1811"/>
    <w:rsid w:val="007B1CB4"/>
    <w:rsid w:val="007B6089"/>
    <w:rsid w:val="007B60F4"/>
    <w:rsid w:val="007B6325"/>
    <w:rsid w:val="007B6A9F"/>
    <w:rsid w:val="007C4CC9"/>
    <w:rsid w:val="007C6E63"/>
    <w:rsid w:val="007C6FC1"/>
    <w:rsid w:val="007C7D52"/>
    <w:rsid w:val="007D0FC1"/>
    <w:rsid w:val="007D5B83"/>
    <w:rsid w:val="007E015B"/>
    <w:rsid w:val="007E4A5E"/>
    <w:rsid w:val="007E5588"/>
    <w:rsid w:val="007E7F1D"/>
    <w:rsid w:val="007F26AD"/>
    <w:rsid w:val="007F2C22"/>
    <w:rsid w:val="00801B1B"/>
    <w:rsid w:val="008060E0"/>
    <w:rsid w:val="008067BF"/>
    <w:rsid w:val="00806DAE"/>
    <w:rsid w:val="0080763E"/>
    <w:rsid w:val="00815013"/>
    <w:rsid w:val="008164B5"/>
    <w:rsid w:val="008243BB"/>
    <w:rsid w:val="0082443B"/>
    <w:rsid w:val="00825190"/>
    <w:rsid w:val="0082531E"/>
    <w:rsid w:val="00825F9F"/>
    <w:rsid w:val="008276FC"/>
    <w:rsid w:val="00832450"/>
    <w:rsid w:val="008330D5"/>
    <w:rsid w:val="00833518"/>
    <w:rsid w:val="00834248"/>
    <w:rsid w:val="0083614F"/>
    <w:rsid w:val="00837E07"/>
    <w:rsid w:val="00840012"/>
    <w:rsid w:val="00840666"/>
    <w:rsid w:val="008409BF"/>
    <w:rsid w:val="00841747"/>
    <w:rsid w:val="00845517"/>
    <w:rsid w:val="008519FD"/>
    <w:rsid w:val="00851E94"/>
    <w:rsid w:val="0085212C"/>
    <w:rsid w:val="00852B4A"/>
    <w:rsid w:val="00852D48"/>
    <w:rsid w:val="00853A4D"/>
    <w:rsid w:val="0085695B"/>
    <w:rsid w:val="00861D60"/>
    <w:rsid w:val="008655BD"/>
    <w:rsid w:val="00874A2C"/>
    <w:rsid w:val="00875ADF"/>
    <w:rsid w:val="00876A9D"/>
    <w:rsid w:val="00877649"/>
    <w:rsid w:val="00884A23"/>
    <w:rsid w:val="00886594"/>
    <w:rsid w:val="00890951"/>
    <w:rsid w:val="0089454B"/>
    <w:rsid w:val="0089647F"/>
    <w:rsid w:val="00897B47"/>
    <w:rsid w:val="008A7857"/>
    <w:rsid w:val="008B3646"/>
    <w:rsid w:val="008B73FE"/>
    <w:rsid w:val="008B78D5"/>
    <w:rsid w:val="008B7CC2"/>
    <w:rsid w:val="008C08B8"/>
    <w:rsid w:val="008C0963"/>
    <w:rsid w:val="008C360B"/>
    <w:rsid w:val="008C38D2"/>
    <w:rsid w:val="008C6067"/>
    <w:rsid w:val="008D09DA"/>
    <w:rsid w:val="008D13DD"/>
    <w:rsid w:val="008D341F"/>
    <w:rsid w:val="008D3F19"/>
    <w:rsid w:val="008D52CF"/>
    <w:rsid w:val="008D7CB2"/>
    <w:rsid w:val="008E01B0"/>
    <w:rsid w:val="008E04EE"/>
    <w:rsid w:val="008E30C1"/>
    <w:rsid w:val="008E4002"/>
    <w:rsid w:val="008F30BA"/>
    <w:rsid w:val="008F42B5"/>
    <w:rsid w:val="008F5251"/>
    <w:rsid w:val="008F6552"/>
    <w:rsid w:val="008F70DC"/>
    <w:rsid w:val="0090172A"/>
    <w:rsid w:val="00902875"/>
    <w:rsid w:val="009041D2"/>
    <w:rsid w:val="00905A84"/>
    <w:rsid w:val="00906406"/>
    <w:rsid w:val="00912166"/>
    <w:rsid w:val="00916B05"/>
    <w:rsid w:val="00916FBE"/>
    <w:rsid w:val="009170F0"/>
    <w:rsid w:val="00920ECD"/>
    <w:rsid w:val="009230CB"/>
    <w:rsid w:val="00926A3E"/>
    <w:rsid w:val="0093054F"/>
    <w:rsid w:val="00930B8B"/>
    <w:rsid w:val="0093210B"/>
    <w:rsid w:val="0093389D"/>
    <w:rsid w:val="009357AD"/>
    <w:rsid w:val="00940FB6"/>
    <w:rsid w:val="0094149A"/>
    <w:rsid w:val="00944270"/>
    <w:rsid w:val="00944681"/>
    <w:rsid w:val="00945F3E"/>
    <w:rsid w:val="00952CA9"/>
    <w:rsid w:val="0095762F"/>
    <w:rsid w:val="00962C82"/>
    <w:rsid w:val="00962E3F"/>
    <w:rsid w:val="00965568"/>
    <w:rsid w:val="00966135"/>
    <w:rsid w:val="00966262"/>
    <w:rsid w:val="00972725"/>
    <w:rsid w:val="00973C37"/>
    <w:rsid w:val="00973E6E"/>
    <w:rsid w:val="00975CF3"/>
    <w:rsid w:val="00977A6B"/>
    <w:rsid w:val="00983FC8"/>
    <w:rsid w:val="00992E70"/>
    <w:rsid w:val="00993655"/>
    <w:rsid w:val="009A16A2"/>
    <w:rsid w:val="009A371A"/>
    <w:rsid w:val="009A4B22"/>
    <w:rsid w:val="009A7E50"/>
    <w:rsid w:val="009B2BFF"/>
    <w:rsid w:val="009B348E"/>
    <w:rsid w:val="009B5CF0"/>
    <w:rsid w:val="009B68CF"/>
    <w:rsid w:val="009B7A76"/>
    <w:rsid w:val="009C066F"/>
    <w:rsid w:val="009C1EFB"/>
    <w:rsid w:val="009C39B5"/>
    <w:rsid w:val="009C3FD0"/>
    <w:rsid w:val="009C69B8"/>
    <w:rsid w:val="009D0385"/>
    <w:rsid w:val="009D2F43"/>
    <w:rsid w:val="009D789B"/>
    <w:rsid w:val="009E15DE"/>
    <w:rsid w:val="009E665C"/>
    <w:rsid w:val="009E7236"/>
    <w:rsid w:val="009F0D3B"/>
    <w:rsid w:val="009F25A4"/>
    <w:rsid w:val="009F3013"/>
    <w:rsid w:val="009F61B1"/>
    <w:rsid w:val="009F6CF6"/>
    <w:rsid w:val="00A005C3"/>
    <w:rsid w:val="00A018FE"/>
    <w:rsid w:val="00A159DA"/>
    <w:rsid w:val="00A260C2"/>
    <w:rsid w:val="00A30819"/>
    <w:rsid w:val="00A32BC0"/>
    <w:rsid w:val="00A34E21"/>
    <w:rsid w:val="00A40A09"/>
    <w:rsid w:val="00A41166"/>
    <w:rsid w:val="00A46329"/>
    <w:rsid w:val="00A474C0"/>
    <w:rsid w:val="00A521B4"/>
    <w:rsid w:val="00A53BA7"/>
    <w:rsid w:val="00A53EED"/>
    <w:rsid w:val="00A5409D"/>
    <w:rsid w:val="00A5745E"/>
    <w:rsid w:val="00A63D4B"/>
    <w:rsid w:val="00A73630"/>
    <w:rsid w:val="00A74AD2"/>
    <w:rsid w:val="00A76997"/>
    <w:rsid w:val="00A77047"/>
    <w:rsid w:val="00A7775A"/>
    <w:rsid w:val="00A77C58"/>
    <w:rsid w:val="00A83D2F"/>
    <w:rsid w:val="00A85D78"/>
    <w:rsid w:val="00A85EB1"/>
    <w:rsid w:val="00A92D91"/>
    <w:rsid w:val="00A93B3C"/>
    <w:rsid w:val="00A97DFB"/>
    <w:rsid w:val="00AA2308"/>
    <w:rsid w:val="00AA34C3"/>
    <w:rsid w:val="00AA3856"/>
    <w:rsid w:val="00AA5031"/>
    <w:rsid w:val="00AA5C2F"/>
    <w:rsid w:val="00AC20D0"/>
    <w:rsid w:val="00AC24F3"/>
    <w:rsid w:val="00AC27FF"/>
    <w:rsid w:val="00AD1B36"/>
    <w:rsid w:val="00AD2877"/>
    <w:rsid w:val="00AD2C70"/>
    <w:rsid w:val="00AE3B68"/>
    <w:rsid w:val="00AE4D01"/>
    <w:rsid w:val="00AF0D7D"/>
    <w:rsid w:val="00AF4143"/>
    <w:rsid w:val="00AF453F"/>
    <w:rsid w:val="00AF5622"/>
    <w:rsid w:val="00B006CF"/>
    <w:rsid w:val="00B028AA"/>
    <w:rsid w:val="00B14810"/>
    <w:rsid w:val="00B23EE5"/>
    <w:rsid w:val="00B323E2"/>
    <w:rsid w:val="00B41900"/>
    <w:rsid w:val="00B42376"/>
    <w:rsid w:val="00B44EDD"/>
    <w:rsid w:val="00B4612C"/>
    <w:rsid w:val="00B47C12"/>
    <w:rsid w:val="00B51543"/>
    <w:rsid w:val="00B52A83"/>
    <w:rsid w:val="00B55B5C"/>
    <w:rsid w:val="00B56583"/>
    <w:rsid w:val="00B62B02"/>
    <w:rsid w:val="00B65BE8"/>
    <w:rsid w:val="00B723D4"/>
    <w:rsid w:val="00B7559A"/>
    <w:rsid w:val="00B7683F"/>
    <w:rsid w:val="00B80378"/>
    <w:rsid w:val="00B8507E"/>
    <w:rsid w:val="00B85201"/>
    <w:rsid w:val="00B856AD"/>
    <w:rsid w:val="00B87398"/>
    <w:rsid w:val="00B91C5D"/>
    <w:rsid w:val="00B93545"/>
    <w:rsid w:val="00B95987"/>
    <w:rsid w:val="00BA2E7D"/>
    <w:rsid w:val="00BA3116"/>
    <w:rsid w:val="00BA3CDB"/>
    <w:rsid w:val="00BB1DAA"/>
    <w:rsid w:val="00BB2C6E"/>
    <w:rsid w:val="00BC0523"/>
    <w:rsid w:val="00BC3426"/>
    <w:rsid w:val="00BC355B"/>
    <w:rsid w:val="00BD1D4D"/>
    <w:rsid w:val="00BE1290"/>
    <w:rsid w:val="00BE5B33"/>
    <w:rsid w:val="00BF05BF"/>
    <w:rsid w:val="00BF166A"/>
    <w:rsid w:val="00BF500D"/>
    <w:rsid w:val="00C00B68"/>
    <w:rsid w:val="00C03114"/>
    <w:rsid w:val="00C045CA"/>
    <w:rsid w:val="00C050B0"/>
    <w:rsid w:val="00C05CA8"/>
    <w:rsid w:val="00C123DF"/>
    <w:rsid w:val="00C17978"/>
    <w:rsid w:val="00C2003F"/>
    <w:rsid w:val="00C2030A"/>
    <w:rsid w:val="00C208FF"/>
    <w:rsid w:val="00C2144B"/>
    <w:rsid w:val="00C22965"/>
    <w:rsid w:val="00C2456B"/>
    <w:rsid w:val="00C2690F"/>
    <w:rsid w:val="00C27C00"/>
    <w:rsid w:val="00C303D7"/>
    <w:rsid w:val="00C32B15"/>
    <w:rsid w:val="00C347B5"/>
    <w:rsid w:val="00C347D6"/>
    <w:rsid w:val="00C35588"/>
    <w:rsid w:val="00C36631"/>
    <w:rsid w:val="00C369CB"/>
    <w:rsid w:val="00C42032"/>
    <w:rsid w:val="00C4244E"/>
    <w:rsid w:val="00C4417F"/>
    <w:rsid w:val="00C4621D"/>
    <w:rsid w:val="00C46DB2"/>
    <w:rsid w:val="00C5037B"/>
    <w:rsid w:val="00C50F2E"/>
    <w:rsid w:val="00C556B3"/>
    <w:rsid w:val="00C5781A"/>
    <w:rsid w:val="00C57862"/>
    <w:rsid w:val="00C603FA"/>
    <w:rsid w:val="00C613F2"/>
    <w:rsid w:val="00C64542"/>
    <w:rsid w:val="00C65550"/>
    <w:rsid w:val="00C70F8C"/>
    <w:rsid w:val="00C7194C"/>
    <w:rsid w:val="00C71BD0"/>
    <w:rsid w:val="00C76506"/>
    <w:rsid w:val="00C7682D"/>
    <w:rsid w:val="00C76895"/>
    <w:rsid w:val="00C77C3C"/>
    <w:rsid w:val="00C83F63"/>
    <w:rsid w:val="00C90B18"/>
    <w:rsid w:val="00C90CDB"/>
    <w:rsid w:val="00C90CE3"/>
    <w:rsid w:val="00C93FFC"/>
    <w:rsid w:val="00C962B3"/>
    <w:rsid w:val="00CA03F1"/>
    <w:rsid w:val="00CA1D43"/>
    <w:rsid w:val="00CA72A2"/>
    <w:rsid w:val="00CB3542"/>
    <w:rsid w:val="00CB5046"/>
    <w:rsid w:val="00CC302C"/>
    <w:rsid w:val="00CC3F4A"/>
    <w:rsid w:val="00CD06F2"/>
    <w:rsid w:val="00CD3863"/>
    <w:rsid w:val="00CD42AB"/>
    <w:rsid w:val="00CD5E46"/>
    <w:rsid w:val="00CE61D9"/>
    <w:rsid w:val="00CE7AEA"/>
    <w:rsid w:val="00CF18D8"/>
    <w:rsid w:val="00CF2678"/>
    <w:rsid w:val="00CF712B"/>
    <w:rsid w:val="00D01815"/>
    <w:rsid w:val="00D14B9E"/>
    <w:rsid w:val="00D20998"/>
    <w:rsid w:val="00D21059"/>
    <w:rsid w:val="00D22D8E"/>
    <w:rsid w:val="00D24294"/>
    <w:rsid w:val="00D25F12"/>
    <w:rsid w:val="00D3087A"/>
    <w:rsid w:val="00D3420C"/>
    <w:rsid w:val="00D353F6"/>
    <w:rsid w:val="00D36AE4"/>
    <w:rsid w:val="00D3775B"/>
    <w:rsid w:val="00D41D56"/>
    <w:rsid w:val="00D4464A"/>
    <w:rsid w:val="00D45E59"/>
    <w:rsid w:val="00D47D18"/>
    <w:rsid w:val="00D521BB"/>
    <w:rsid w:val="00D5273E"/>
    <w:rsid w:val="00D54AAA"/>
    <w:rsid w:val="00D54EF4"/>
    <w:rsid w:val="00D60AA1"/>
    <w:rsid w:val="00D66B9E"/>
    <w:rsid w:val="00D70520"/>
    <w:rsid w:val="00D708F9"/>
    <w:rsid w:val="00D710C6"/>
    <w:rsid w:val="00D73179"/>
    <w:rsid w:val="00D75D02"/>
    <w:rsid w:val="00D76058"/>
    <w:rsid w:val="00D81B6A"/>
    <w:rsid w:val="00D824E8"/>
    <w:rsid w:val="00D86AE0"/>
    <w:rsid w:val="00D9248C"/>
    <w:rsid w:val="00D93712"/>
    <w:rsid w:val="00DA1234"/>
    <w:rsid w:val="00DA13A7"/>
    <w:rsid w:val="00DA1D24"/>
    <w:rsid w:val="00DA317F"/>
    <w:rsid w:val="00DA5B97"/>
    <w:rsid w:val="00DB0E2F"/>
    <w:rsid w:val="00DB411B"/>
    <w:rsid w:val="00DB734A"/>
    <w:rsid w:val="00DC0343"/>
    <w:rsid w:val="00DC407B"/>
    <w:rsid w:val="00DC541D"/>
    <w:rsid w:val="00DC7D58"/>
    <w:rsid w:val="00DD0607"/>
    <w:rsid w:val="00DD3DA2"/>
    <w:rsid w:val="00DD7796"/>
    <w:rsid w:val="00DE15AD"/>
    <w:rsid w:val="00DE538F"/>
    <w:rsid w:val="00DE54C8"/>
    <w:rsid w:val="00DF5C00"/>
    <w:rsid w:val="00E037E0"/>
    <w:rsid w:val="00E03C47"/>
    <w:rsid w:val="00E10A9C"/>
    <w:rsid w:val="00E10AFB"/>
    <w:rsid w:val="00E11219"/>
    <w:rsid w:val="00E11AB2"/>
    <w:rsid w:val="00E1338A"/>
    <w:rsid w:val="00E21667"/>
    <w:rsid w:val="00E313D4"/>
    <w:rsid w:val="00E3262A"/>
    <w:rsid w:val="00E33F48"/>
    <w:rsid w:val="00E35B07"/>
    <w:rsid w:val="00E35B28"/>
    <w:rsid w:val="00E36338"/>
    <w:rsid w:val="00E430B6"/>
    <w:rsid w:val="00E4357C"/>
    <w:rsid w:val="00E446C7"/>
    <w:rsid w:val="00E465D5"/>
    <w:rsid w:val="00E51437"/>
    <w:rsid w:val="00E514F0"/>
    <w:rsid w:val="00E566A3"/>
    <w:rsid w:val="00E56E4F"/>
    <w:rsid w:val="00E624C6"/>
    <w:rsid w:val="00E660C2"/>
    <w:rsid w:val="00E66C5A"/>
    <w:rsid w:val="00E70608"/>
    <w:rsid w:val="00E72477"/>
    <w:rsid w:val="00E81ED8"/>
    <w:rsid w:val="00E8608B"/>
    <w:rsid w:val="00E8651D"/>
    <w:rsid w:val="00E875F2"/>
    <w:rsid w:val="00E905AA"/>
    <w:rsid w:val="00E91607"/>
    <w:rsid w:val="00E91CA6"/>
    <w:rsid w:val="00EA0A32"/>
    <w:rsid w:val="00EA497F"/>
    <w:rsid w:val="00EA6076"/>
    <w:rsid w:val="00EB5564"/>
    <w:rsid w:val="00EB7844"/>
    <w:rsid w:val="00EC318E"/>
    <w:rsid w:val="00EC3BD0"/>
    <w:rsid w:val="00EC6850"/>
    <w:rsid w:val="00EC7553"/>
    <w:rsid w:val="00ED01CB"/>
    <w:rsid w:val="00ED0B56"/>
    <w:rsid w:val="00ED43E6"/>
    <w:rsid w:val="00ED4E84"/>
    <w:rsid w:val="00ED7744"/>
    <w:rsid w:val="00EE09A7"/>
    <w:rsid w:val="00EE19CC"/>
    <w:rsid w:val="00EF09C8"/>
    <w:rsid w:val="00EF4C0F"/>
    <w:rsid w:val="00F001C9"/>
    <w:rsid w:val="00F0621B"/>
    <w:rsid w:val="00F069EF"/>
    <w:rsid w:val="00F07319"/>
    <w:rsid w:val="00F1472B"/>
    <w:rsid w:val="00F15F1E"/>
    <w:rsid w:val="00F1649A"/>
    <w:rsid w:val="00F16D99"/>
    <w:rsid w:val="00F24AE3"/>
    <w:rsid w:val="00F2782A"/>
    <w:rsid w:val="00F34E22"/>
    <w:rsid w:val="00F461F5"/>
    <w:rsid w:val="00F46BB2"/>
    <w:rsid w:val="00F47367"/>
    <w:rsid w:val="00F568BF"/>
    <w:rsid w:val="00F61659"/>
    <w:rsid w:val="00F61926"/>
    <w:rsid w:val="00F62179"/>
    <w:rsid w:val="00F62F6A"/>
    <w:rsid w:val="00F63579"/>
    <w:rsid w:val="00F64E1C"/>
    <w:rsid w:val="00F670AF"/>
    <w:rsid w:val="00F70EDC"/>
    <w:rsid w:val="00F72FEA"/>
    <w:rsid w:val="00F730BB"/>
    <w:rsid w:val="00F82743"/>
    <w:rsid w:val="00F90D58"/>
    <w:rsid w:val="00F9115A"/>
    <w:rsid w:val="00FA362E"/>
    <w:rsid w:val="00FA6A59"/>
    <w:rsid w:val="00FA6B40"/>
    <w:rsid w:val="00FB01ED"/>
    <w:rsid w:val="00FB158B"/>
    <w:rsid w:val="00FB338C"/>
    <w:rsid w:val="00FB47FE"/>
    <w:rsid w:val="00FB5A4A"/>
    <w:rsid w:val="00FB6E6C"/>
    <w:rsid w:val="00FC5BF0"/>
    <w:rsid w:val="00FC6093"/>
    <w:rsid w:val="00FC7C14"/>
    <w:rsid w:val="00FC7C5B"/>
    <w:rsid w:val="00FD1210"/>
    <w:rsid w:val="00FD255B"/>
    <w:rsid w:val="00FD3D04"/>
    <w:rsid w:val="00FD423D"/>
    <w:rsid w:val="00FD44C0"/>
    <w:rsid w:val="00FD61D3"/>
    <w:rsid w:val="00FD6BF6"/>
    <w:rsid w:val="00FE2F3B"/>
    <w:rsid w:val="00FE31DF"/>
    <w:rsid w:val="00FE5C97"/>
    <w:rsid w:val="00FF03ED"/>
    <w:rsid w:val="00FF1D6C"/>
    <w:rsid w:val="00FF43D9"/>
    <w:rsid w:val="00FF4988"/>
    <w:rsid w:val="015C2B0C"/>
    <w:rsid w:val="037A7C3F"/>
    <w:rsid w:val="03F743E0"/>
    <w:rsid w:val="04926F71"/>
    <w:rsid w:val="061443BE"/>
    <w:rsid w:val="062A4F87"/>
    <w:rsid w:val="06853E73"/>
    <w:rsid w:val="06D33C28"/>
    <w:rsid w:val="07434552"/>
    <w:rsid w:val="08C47915"/>
    <w:rsid w:val="09C33728"/>
    <w:rsid w:val="09F71624"/>
    <w:rsid w:val="0AB3379D"/>
    <w:rsid w:val="0AC22A01"/>
    <w:rsid w:val="0ADA51CD"/>
    <w:rsid w:val="0DBE3513"/>
    <w:rsid w:val="0E990EFC"/>
    <w:rsid w:val="0EEA1757"/>
    <w:rsid w:val="0F0D2853"/>
    <w:rsid w:val="0FC91CB4"/>
    <w:rsid w:val="10142F30"/>
    <w:rsid w:val="10985698"/>
    <w:rsid w:val="10D208A1"/>
    <w:rsid w:val="127B3DF8"/>
    <w:rsid w:val="12A32349"/>
    <w:rsid w:val="15110C90"/>
    <w:rsid w:val="18170B01"/>
    <w:rsid w:val="18185587"/>
    <w:rsid w:val="185A794E"/>
    <w:rsid w:val="1F5473D3"/>
    <w:rsid w:val="1F9C6A9E"/>
    <w:rsid w:val="1FA32974"/>
    <w:rsid w:val="21383D31"/>
    <w:rsid w:val="21D8518D"/>
    <w:rsid w:val="21ED538F"/>
    <w:rsid w:val="223B07F0"/>
    <w:rsid w:val="22D8603F"/>
    <w:rsid w:val="26E825C8"/>
    <w:rsid w:val="285D7C97"/>
    <w:rsid w:val="2A5D1D90"/>
    <w:rsid w:val="2AAD7DB1"/>
    <w:rsid w:val="2AB074C8"/>
    <w:rsid w:val="2F920F57"/>
    <w:rsid w:val="303538A8"/>
    <w:rsid w:val="31DC7CDA"/>
    <w:rsid w:val="32002EBC"/>
    <w:rsid w:val="343D03F7"/>
    <w:rsid w:val="35612F8E"/>
    <w:rsid w:val="35BF6BEA"/>
    <w:rsid w:val="372907BF"/>
    <w:rsid w:val="373B04F2"/>
    <w:rsid w:val="39792186"/>
    <w:rsid w:val="39DB7601"/>
    <w:rsid w:val="3A590557"/>
    <w:rsid w:val="3A8207E6"/>
    <w:rsid w:val="3F285767"/>
    <w:rsid w:val="41636FC4"/>
    <w:rsid w:val="42472441"/>
    <w:rsid w:val="43E75C8A"/>
    <w:rsid w:val="44A818BD"/>
    <w:rsid w:val="44E81CBA"/>
    <w:rsid w:val="45611A6C"/>
    <w:rsid w:val="459260C9"/>
    <w:rsid w:val="48597044"/>
    <w:rsid w:val="48B77271"/>
    <w:rsid w:val="4B5C6F5D"/>
    <w:rsid w:val="4C4B5AF1"/>
    <w:rsid w:val="4D037E58"/>
    <w:rsid w:val="4F7A2927"/>
    <w:rsid w:val="4FC21359"/>
    <w:rsid w:val="527752A8"/>
    <w:rsid w:val="57A75A04"/>
    <w:rsid w:val="57FD3876"/>
    <w:rsid w:val="58E42340"/>
    <w:rsid w:val="59527BF2"/>
    <w:rsid w:val="5B092532"/>
    <w:rsid w:val="5B242EC8"/>
    <w:rsid w:val="5B2D7FCE"/>
    <w:rsid w:val="5D5F28DD"/>
    <w:rsid w:val="5FF4201D"/>
    <w:rsid w:val="63EB6C79"/>
    <w:rsid w:val="68D75A1D"/>
    <w:rsid w:val="69037BF2"/>
    <w:rsid w:val="690F6F65"/>
    <w:rsid w:val="69E825EA"/>
    <w:rsid w:val="6DC9002B"/>
    <w:rsid w:val="704A4D27"/>
    <w:rsid w:val="70621CA1"/>
    <w:rsid w:val="7064403B"/>
    <w:rsid w:val="73125FD0"/>
    <w:rsid w:val="74FA31C0"/>
    <w:rsid w:val="75412B9C"/>
    <w:rsid w:val="75EF084A"/>
    <w:rsid w:val="76735E8F"/>
    <w:rsid w:val="78A376CA"/>
    <w:rsid w:val="78F30652"/>
    <w:rsid w:val="7A2D77E6"/>
    <w:rsid w:val="7CC43CC7"/>
    <w:rsid w:val="7CED53B8"/>
    <w:rsid w:val="7D9B19E9"/>
    <w:rsid w:val="7E017588"/>
    <w:rsid w:val="7E8D0C00"/>
    <w:rsid w:val="7EAD1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32"/>
    <w:qFormat/>
    <w:uiPriority w:val="0"/>
    <w:pPr>
      <w:ind w:firstLine="420"/>
    </w:pPr>
  </w:style>
  <w:style w:type="paragraph" w:styleId="7">
    <w:name w:val="annotation text"/>
    <w:basedOn w:val="1"/>
    <w:link w:val="38"/>
    <w:qFormat/>
    <w:uiPriority w:val="0"/>
    <w:pPr>
      <w:jc w:val="left"/>
    </w:pPr>
    <w:rPr>
      <w:rFonts w:ascii="Calibri" w:hAnsi="Calibri" w:eastAsia="宋体" w:cs="Times New Roman"/>
      <w:szCs w:val="24"/>
    </w:rPr>
  </w:style>
  <w:style w:type="paragraph" w:styleId="8">
    <w:name w:val="Body Text"/>
    <w:basedOn w:val="1"/>
    <w:link w:val="34"/>
    <w:qFormat/>
    <w:uiPriority w:val="1"/>
    <w:pPr>
      <w:ind w:left="102"/>
    </w:pPr>
    <w:rPr>
      <w:rFonts w:ascii="仿宋" w:hAnsi="仿宋" w:eastAsia="仿宋"/>
      <w:sz w:val="28"/>
      <w:szCs w:val="28"/>
    </w:rPr>
  </w:style>
  <w:style w:type="paragraph" w:styleId="9">
    <w:name w:val="Body Text Indent"/>
    <w:basedOn w:val="1"/>
    <w:link w:val="39"/>
    <w:semiHidden/>
    <w:unhideWhenUsed/>
    <w:qFormat/>
    <w:uiPriority w:val="99"/>
    <w:pPr>
      <w:spacing w:after="120"/>
      <w:ind w:left="420" w:leftChars="200"/>
    </w:pPr>
  </w:style>
  <w:style w:type="paragraph" w:styleId="10">
    <w:name w:val="Balloon Text"/>
    <w:basedOn w:val="1"/>
    <w:link w:val="30"/>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envelope return"/>
    <w:basedOn w:val="1"/>
    <w:unhideWhenUsed/>
    <w:qFormat/>
    <w:uiPriority w:val="99"/>
    <w:pPr>
      <w:snapToGrid w:val="0"/>
    </w:pPr>
    <w:rPr>
      <w:rFonts w:ascii="Arial" w:hAnsi="Arial"/>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kern w:val="0"/>
      <w:sz w:val="16"/>
      <w:szCs w:val="16"/>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2"/>
    <w:basedOn w:val="9"/>
    <w:next w:val="14"/>
    <w:link w:val="40"/>
    <w:semiHidden/>
    <w:unhideWhenUsed/>
    <w:qFormat/>
    <w:uiPriority w:val="99"/>
    <w:pPr>
      <w:ind w:firstLine="420" w:firstLineChars="200"/>
    </w:pPr>
  </w:style>
  <w:style w:type="table" w:styleId="18">
    <w:name w:val="Table Grid"/>
    <w:basedOn w:val="1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qFormat/>
    <w:uiPriority w:val="0"/>
    <w:rPr>
      <w:sz w:val="21"/>
      <w:szCs w:val="21"/>
    </w:rPr>
  </w:style>
  <w:style w:type="character" w:customStyle="1" w:styleId="21">
    <w:name w:val="标题 1 字符"/>
    <w:basedOn w:val="19"/>
    <w:link w:val="2"/>
    <w:qFormat/>
    <w:uiPriority w:val="9"/>
    <w:rPr>
      <w:b/>
      <w:bCs/>
      <w:kern w:val="44"/>
      <w:sz w:val="44"/>
      <w:szCs w:val="44"/>
    </w:rPr>
  </w:style>
  <w:style w:type="table" w:customStyle="1" w:styleId="22">
    <w:name w:val="SGS Table Basic 11"/>
    <w:basedOn w:val="17"/>
    <w:qFormat/>
    <w:uiPriority w:val="0"/>
    <w:pPr>
      <w:ind w:left="709" w:hanging="709"/>
    </w:pPr>
    <w:rPr>
      <w:rFonts w:ascii="Arial" w:hAnsi="Arial" w:cs="Times New Roman"/>
      <w:lang w:val="en-GB"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pPr>
        <w:jc w:val="left"/>
      </w:pPr>
      <w:rPr>
        <w:color w:val="FF6600"/>
      </w:rPr>
      <w:tcPr>
        <w:tcBorders>
          <w:bottom w:val="single" w:color="363636" w:sz="12" w:space="0"/>
        </w:tcBorders>
      </w:tcPr>
    </w:tblStylePr>
  </w:style>
  <w:style w:type="character" w:customStyle="1" w:styleId="23">
    <w:name w:val="页眉 字符"/>
    <w:basedOn w:val="19"/>
    <w:link w:val="13"/>
    <w:qFormat/>
    <w:uiPriority w:val="99"/>
    <w:rPr>
      <w:sz w:val="18"/>
      <w:szCs w:val="18"/>
    </w:rPr>
  </w:style>
  <w:style w:type="character" w:customStyle="1" w:styleId="24">
    <w:name w:val="页脚 字符"/>
    <w:basedOn w:val="19"/>
    <w:link w:val="11"/>
    <w:qFormat/>
    <w:uiPriority w:val="99"/>
    <w:rPr>
      <w:sz w:val="18"/>
      <w:szCs w:val="18"/>
    </w:rPr>
  </w:style>
  <w:style w:type="character" w:customStyle="1" w:styleId="25">
    <w:name w:val="NormalCharacter"/>
    <w:qFormat/>
    <w:uiPriority w:val="0"/>
    <w:rPr>
      <w:kern w:val="2"/>
      <w:sz w:val="21"/>
      <w:szCs w:val="22"/>
      <w:lang w:val="en-US" w:eastAsia="zh-CN" w:bidi="ar-SA"/>
    </w:rPr>
  </w:style>
  <w:style w:type="paragraph" w:customStyle="1" w:styleId="26">
    <w:name w:val="列出段落1"/>
    <w:basedOn w:val="1"/>
    <w:qFormat/>
    <w:uiPriority w:val="0"/>
    <w:pPr>
      <w:ind w:firstLine="200" w:firstLineChars="200"/>
    </w:pPr>
    <w:rPr>
      <w:rFonts w:ascii="Calibri" w:hAnsi="Calibri" w:eastAsia="宋体" w:cs="Times New Roman"/>
    </w:rPr>
  </w:style>
  <w:style w:type="paragraph" w:styleId="27">
    <w:name w:val="List Paragraph"/>
    <w:basedOn w:val="1"/>
    <w:qFormat/>
    <w:uiPriority w:val="34"/>
    <w:pPr>
      <w:ind w:firstLine="420"/>
    </w:pPr>
    <w:rPr>
      <w:rFonts w:ascii="Calibri" w:hAnsi="Calibri" w:eastAsia="宋体" w:cs="Times New Roman"/>
      <w:szCs w:val="24"/>
    </w:rPr>
  </w:style>
  <w:style w:type="character" w:customStyle="1" w:styleId="28">
    <w:name w:val="标题 2 字符"/>
    <w:basedOn w:val="19"/>
    <w:link w:val="3"/>
    <w:qFormat/>
    <w:uiPriority w:val="0"/>
    <w:rPr>
      <w:rFonts w:asciiTheme="majorHAnsi" w:hAnsiTheme="majorHAnsi" w:eastAsiaTheme="majorEastAsia" w:cstheme="majorBidi"/>
      <w:b/>
      <w:bCs/>
      <w:sz w:val="32"/>
      <w:szCs w:val="32"/>
    </w:rPr>
  </w:style>
  <w:style w:type="character" w:customStyle="1" w:styleId="29">
    <w:name w:val="标题 3 字符"/>
    <w:basedOn w:val="19"/>
    <w:link w:val="4"/>
    <w:qFormat/>
    <w:uiPriority w:val="0"/>
    <w:rPr>
      <w:b/>
      <w:bCs/>
      <w:sz w:val="32"/>
      <w:szCs w:val="32"/>
    </w:rPr>
  </w:style>
  <w:style w:type="character" w:customStyle="1" w:styleId="30">
    <w:name w:val="批注框文本 字符"/>
    <w:basedOn w:val="19"/>
    <w:link w:val="10"/>
    <w:semiHidden/>
    <w:qFormat/>
    <w:uiPriority w:val="99"/>
    <w:rPr>
      <w:sz w:val="18"/>
      <w:szCs w:val="18"/>
    </w:rPr>
  </w:style>
  <w:style w:type="paragraph" w:customStyle="1" w:styleId="31">
    <w:name w:val="Table Paragraph"/>
    <w:basedOn w:val="1"/>
    <w:qFormat/>
    <w:uiPriority w:val="1"/>
    <w:pPr>
      <w:autoSpaceDE w:val="0"/>
      <w:autoSpaceDN w:val="0"/>
      <w:jc w:val="left"/>
    </w:pPr>
    <w:rPr>
      <w:rFonts w:ascii="仿宋" w:hAnsi="仿宋" w:eastAsia="仿宋" w:cs="仿宋"/>
      <w:kern w:val="0"/>
      <w:sz w:val="22"/>
      <w:lang w:val="zh-CN" w:bidi="zh-CN"/>
    </w:rPr>
  </w:style>
  <w:style w:type="character" w:customStyle="1" w:styleId="32">
    <w:name w:val="正文缩进 字符"/>
    <w:link w:val="6"/>
    <w:qFormat/>
    <w:uiPriority w:val="0"/>
  </w:style>
  <w:style w:type="paragraph" w:customStyle="1" w:styleId="33">
    <w:name w:val="首行缩进"/>
    <w:basedOn w:val="1"/>
    <w:qFormat/>
    <w:uiPriority w:val="0"/>
    <w:pPr>
      <w:ind w:firstLine="480" w:firstLineChars="200"/>
    </w:pPr>
    <w:rPr>
      <w:rFonts w:ascii="Times New Roman" w:hAnsi="Times New Roman" w:eastAsia="宋体" w:cs="Times New Roman"/>
      <w:szCs w:val="20"/>
      <w:lang w:val="zh-CN"/>
    </w:rPr>
  </w:style>
  <w:style w:type="character" w:customStyle="1" w:styleId="34">
    <w:name w:val="正文文本 字符"/>
    <w:basedOn w:val="19"/>
    <w:link w:val="8"/>
    <w:qFormat/>
    <w:uiPriority w:val="1"/>
    <w:rPr>
      <w:rFonts w:ascii="仿宋" w:hAnsi="仿宋" w:eastAsia="仿宋"/>
      <w:sz w:val="28"/>
      <w:szCs w:val="28"/>
    </w:rPr>
  </w:style>
  <w:style w:type="paragraph" w:customStyle="1" w:styleId="35">
    <w:name w:val="正文1"/>
    <w:basedOn w:val="1"/>
    <w:qFormat/>
    <w:uiPriority w:val="0"/>
    <w:pPr>
      <w:spacing w:line="360" w:lineRule="auto"/>
      <w:ind w:firstLine="361"/>
    </w:pPr>
    <w:rPr>
      <w:rFonts w:ascii="宋体" w:hAnsi="宋体" w:eastAsia="宋体" w:cs="Times New Roman"/>
      <w:szCs w:val="24"/>
    </w:rPr>
  </w:style>
  <w:style w:type="character" w:customStyle="1" w:styleId="36">
    <w:name w:val="正文缩进2格 Char"/>
    <w:link w:val="37"/>
    <w:qFormat/>
    <w:locked/>
    <w:uiPriority w:val="0"/>
    <w:rPr>
      <w:rFonts w:ascii="仿宋_GB2312" w:hAnsi="宋体" w:eastAsia="仿宋_GB2312"/>
      <w:sz w:val="31"/>
      <w:szCs w:val="28"/>
    </w:rPr>
  </w:style>
  <w:style w:type="paragraph" w:customStyle="1" w:styleId="37">
    <w:name w:val="正文缩进2格"/>
    <w:basedOn w:val="1"/>
    <w:link w:val="36"/>
    <w:qFormat/>
    <w:uiPriority w:val="0"/>
    <w:pPr>
      <w:spacing w:line="600" w:lineRule="exact"/>
      <w:ind w:firstLine="639" w:firstLineChars="206"/>
    </w:pPr>
    <w:rPr>
      <w:rFonts w:ascii="仿宋_GB2312" w:hAnsi="宋体" w:eastAsia="仿宋_GB2312"/>
      <w:sz w:val="31"/>
      <w:szCs w:val="28"/>
    </w:rPr>
  </w:style>
  <w:style w:type="character" w:customStyle="1" w:styleId="38">
    <w:name w:val="批注文字 字符"/>
    <w:basedOn w:val="19"/>
    <w:link w:val="7"/>
    <w:qFormat/>
    <w:uiPriority w:val="0"/>
    <w:rPr>
      <w:rFonts w:ascii="Calibri" w:hAnsi="Calibri" w:eastAsia="宋体" w:cs="Times New Roman"/>
      <w:kern w:val="2"/>
      <w:sz w:val="21"/>
      <w:szCs w:val="24"/>
    </w:rPr>
  </w:style>
  <w:style w:type="character" w:customStyle="1" w:styleId="39">
    <w:name w:val="正文文本缩进 字符"/>
    <w:basedOn w:val="19"/>
    <w:link w:val="9"/>
    <w:semiHidden/>
    <w:qFormat/>
    <w:uiPriority w:val="99"/>
    <w:rPr>
      <w:kern w:val="2"/>
      <w:sz w:val="21"/>
      <w:szCs w:val="22"/>
    </w:rPr>
  </w:style>
  <w:style w:type="character" w:customStyle="1" w:styleId="40">
    <w:name w:val="正文文本首行缩进 2 字符"/>
    <w:basedOn w:val="39"/>
    <w:link w:val="16"/>
    <w:semiHidden/>
    <w:qFormat/>
    <w:uiPriority w:val="99"/>
    <w:rPr>
      <w:kern w:val="2"/>
      <w:sz w:val="21"/>
      <w:szCs w:val="22"/>
    </w:rPr>
  </w:style>
  <w:style w:type="character" w:customStyle="1" w:styleId="41">
    <w:name w:val="标题 4 字符"/>
    <w:basedOn w:val="19"/>
    <w:link w:val="5"/>
    <w:semiHidden/>
    <w:qFormat/>
    <w:uiPriority w:val="9"/>
    <w:rPr>
      <w:rFonts w:asciiTheme="majorHAnsi" w:hAnsiTheme="majorHAnsi" w:eastAsiaTheme="majorEastAsia" w:cstheme="majorBidi"/>
      <w:b/>
      <w:bCs/>
      <w:kern w:val="2"/>
      <w:sz w:val="28"/>
      <w:szCs w:val="28"/>
    </w:rPr>
  </w:style>
  <w:style w:type="table" w:customStyle="1" w:styleId="42">
    <w:name w:val="网格型1"/>
    <w:basedOn w:val="17"/>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3">
    <w:name w:val="font21"/>
    <w:basedOn w:val="19"/>
    <w:qFormat/>
    <w:uiPriority w:val="0"/>
    <w:rPr>
      <w:rFonts w:hint="eastAsia" w:ascii="宋体" w:hAnsi="宋体" w:eastAsia="宋体" w:cs="宋体"/>
      <w:b/>
      <w:bCs/>
      <w:color w:val="000000"/>
      <w:sz w:val="24"/>
      <w:szCs w:val="24"/>
      <w:u w:val="none"/>
    </w:rPr>
  </w:style>
  <w:style w:type="character" w:customStyle="1" w:styleId="44">
    <w:name w:val="font51"/>
    <w:basedOn w:val="19"/>
    <w:qFormat/>
    <w:uiPriority w:val="0"/>
    <w:rPr>
      <w:rFonts w:hint="default" w:ascii="Times New Roman" w:hAnsi="Times New Roman" w:cs="Times New Roman"/>
      <w:b/>
      <w:bCs/>
      <w:color w:val="000000"/>
      <w:sz w:val="24"/>
      <w:szCs w:val="24"/>
      <w:u w:val="none"/>
    </w:rPr>
  </w:style>
  <w:style w:type="character" w:customStyle="1" w:styleId="45">
    <w:name w:val="font11"/>
    <w:basedOn w:val="19"/>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CC4D8-3D74-4771-A6ED-0F61FAE42ACD}">
  <ds:schemaRefs/>
</ds:datastoreItem>
</file>

<file path=docProps/app.xml><?xml version="1.0" encoding="utf-8"?>
<Properties xmlns="http://schemas.openxmlformats.org/officeDocument/2006/extended-properties" xmlns:vt="http://schemas.openxmlformats.org/officeDocument/2006/docPropsVTypes">
  <Template>Normal</Template>
  <Company>jshl2015</Company>
  <Pages>42</Pages>
  <Words>18360</Words>
  <Characters>20028</Characters>
  <Lines>185</Lines>
  <Paragraphs>52</Paragraphs>
  <TotalTime>13</TotalTime>
  <ScaleCrop>false</ScaleCrop>
  <LinksUpToDate>false</LinksUpToDate>
  <CharactersWithSpaces>21681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2023-10-09T09:19:00Z</dcterms:created>
  <dc:creator>bailing</dc:creator>
  <cp:lastModifiedBy>港币</cp:lastModifiedBy>
  <cp:lastPrinted>2024-09-12T01:01:21Z</cp:lastPrinted>
  <dcterms:modified xsi:type="dcterms:W3CDTF">2024-09-12T01:14:26Z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C5DDBD5B7DC743718825FBF427D65CA3_13</vt:lpwstr>
  </property>
</Properties>
</file>